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01CC" w14:textId="14EB6D61" w:rsidR="00B933B0" w:rsidRPr="00B933B0" w:rsidRDefault="00B933B0" w:rsidP="00B933B0">
      <w:pPr>
        <w:spacing w:after="0" w:line="240" w:lineRule="auto"/>
        <w:rPr>
          <w:rFonts w:ascii="Times New Roman" w:eastAsia="Times New Roman" w:hAnsi="Times New Roman" w:cs="Times New Roman"/>
          <w:color w:val="103951"/>
          <w:sz w:val="24"/>
          <w:szCs w:val="24"/>
          <w:lang w:eastAsia="en-GB"/>
        </w:rPr>
      </w:pPr>
      <w:r w:rsidRPr="00B933B0">
        <w:rPr>
          <w:rFonts w:ascii="Times New Roman" w:eastAsia="Times New Roman" w:hAnsi="Times New Roman" w:cs="Times New Roman"/>
          <w:color w:val="103951"/>
          <w:sz w:val="24"/>
          <w:szCs w:val="24"/>
          <w:lang w:eastAsia="en-GB"/>
        </w:rPr>
        <w:fldChar w:fldCharType="begin"/>
      </w:r>
      <w:r w:rsidRPr="00B933B0">
        <w:rPr>
          <w:rFonts w:ascii="Times New Roman" w:eastAsia="Times New Roman" w:hAnsi="Times New Roman" w:cs="Times New Roman"/>
          <w:color w:val="103951"/>
          <w:sz w:val="24"/>
          <w:szCs w:val="24"/>
          <w:lang w:eastAsia="en-GB"/>
        </w:rPr>
        <w:instrText xml:space="preserve"> INCLUDEPICTURE "https://mcmh.eu/wp-content/uploads/2020/01/icon_itc_off.svg" \* MERGEFORMATINET </w:instrText>
      </w:r>
      <w:r w:rsidR="00000000">
        <w:rPr>
          <w:rFonts w:ascii="Times New Roman" w:eastAsia="Times New Roman" w:hAnsi="Times New Roman" w:cs="Times New Roman"/>
          <w:color w:val="103951"/>
          <w:sz w:val="24"/>
          <w:szCs w:val="24"/>
          <w:lang w:eastAsia="en-GB"/>
        </w:rPr>
        <w:fldChar w:fldCharType="separate"/>
      </w:r>
      <w:r w:rsidRPr="00B933B0">
        <w:rPr>
          <w:rFonts w:ascii="Times New Roman" w:eastAsia="Times New Roman" w:hAnsi="Times New Roman" w:cs="Times New Roman"/>
          <w:color w:val="103951"/>
          <w:sz w:val="24"/>
          <w:szCs w:val="24"/>
          <w:lang w:eastAsia="en-GB"/>
        </w:rPr>
        <w:fldChar w:fldCharType="end"/>
      </w:r>
    </w:p>
    <w:p w14:paraId="6C0D975B" w14:textId="32B466B9" w:rsidR="001323C9" w:rsidRPr="00881B46" w:rsidRDefault="001323C9" w:rsidP="00C16B2D">
      <w:pPr>
        <w:rPr>
          <w:b/>
          <w:bCs/>
          <w:color w:val="103951"/>
          <w:lang w:val="en-GB"/>
        </w:rPr>
      </w:pPr>
    </w:p>
    <w:p w14:paraId="16EB407E" w14:textId="473C85CF" w:rsidR="00581C03" w:rsidRPr="00B12458" w:rsidRDefault="00541864" w:rsidP="0074528C">
      <w:pPr>
        <w:rPr>
          <w:color w:val="103951"/>
          <w:lang w:val="en-GB"/>
        </w:rPr>
      </w:pPr>
      <w:r w:rsidRPr="00881B46">
        <w:rPr>
          <w:b/>
          <w:bCs/>
          <w:i/>
          <w:iCs/>
          <w:color w:val="103951"/>
          <w:sz w:val="36"/>
          <w:szCs w:val="36"/>
          <w:lang w:val="en-GB"/>
        </w:rPr>
        <w:t>AN OPEN CALL FOR ITC CONFERENCE GRANTS</w:t>
      </w:r>
      <w:r w:rsidR="00B7559C" w:rsidRPr="00881B46">
        <w:rPr>
          <w:b/>
          <w:bCs/>
          <w:i/>
          <w:iCs/>
          <w:color w:val="103951"/>
          <w:sz w:val="36"/>
          <w:szCs w:val="36"/>
          <w:lang w:val="en-GB"/>
        </w:rPr>
        <w:br/>
      </w:r>
      <w:r w:rsidR="001323C9" w:rsidRPr="00881B46">
        <w:rPr>
          <w:b/>
          <w:bCs/>
          <w:color w:val="103951"/>
          <w:lang w:val="en-GB"/>
        </w:rPr>
        <w:t xml:space="preserve">COST Action 18137 - </w:t>
      </w:r>
      <w:r w:rsidR="001323C9" w:rsidRPr="00881B46">
        <w:rPr>
          <w:color w:val="103951"/>
          <w:lang w:val="en-GB"/>
        </w:rPr>
        <w:t xml:space="preserve">European </w:t>
      </w:r>
      <w:proofErr w:type="gramStart"/>
      <w:r w:rsidR="001323C9" w:rsidRPr="00881B46">
        <w:rPr>
          <w:color w:val="103951"/>
          <w:lang w:val="en-GB"/>
        </w:rPr>
        <w:t>Middle Class Mass</w:t>
      </w:r>
      <w:proofErr w:type="gramEnd"/>
      <w:r w:rsidR="001323C9" w:rsidRPr="00881B46">
        <w:rPr>
          <w:color w:val="103951"/>
          <w:lang w:val="en-GB"/>
        </w:rPr>
        <w:t xml:space="preserve"> Housing (MCMH-EU) </w:t>
      </w:r>
      <w:r w:rsidR="00B12458">
        <w:rPr>
          <w:color w:val="103951"/>
          <w:lang w:val="en-GB"/>
        </w:rPr>
        <w:br/>
      </w:r>
    </w:p>
    <w:p w14:paraId="6F2F0883" w14:textId="5A09FE60" w:rsidR="00C16B2D" w:rsidRPr="00881B46" w:rsidRDefault="00DF13EA" w:rsidP="00741307">
      <w:pPr>
        <w:rPr>
          <w:b/>
          <w:bCs/>
          <w:color w:val="103951"/>
          <w:lang w:val="en-GB"/>
        </w:rPr>
      </w:pPr>
      <w:r w:rsidRPr="00881B46">
        <w:rPr>
          <w:b/>
          <w:bCs/>
          <w:color w:val="103951"/>
          <w:lang w:val="en-GB"/>
        </w:rPr>
        <w:t>MAIN GOAL</w:t>
      </w:r>
    </w:p>
    <w:p w14:paraId="5C6C3C69" w14:textId="691555AE" w:rsidR="00F640D2" w:rsidRPr="00881B46" w:rsidRDefault="00620CFE" w:rsidP="00F640D2">
      <w:pPr>
        <w:spacing w:after="120" w:line="276" w:lineRule="auto"/>
        <w:jc w:val="both"/>
        <w:rPr>
          <w:color w:val="103951"/>
          <w:lang w:val="en-GB"/>
        </w:rPr>
      </w:pPr>
      <w:r w:rsidRPr="00881B46">
        <w:rPr>
          <w:color w:val="103951"/>
          <w:lang w:val="en-GB"/>
        </w:rPr>
        <w:t>Inclusiveness Target Countr</w:t>
      </w:r>
      <w:r w:rsidR="00E62539" w:rsidRPr="00881B46">
        <w:rPr>
          <w:color w:val="103951"/>
          <w:lang w:val="en-GB"/>
        </w:rPr>
        <w:t>ies</w:t>
      </w:r>
      <w:r w:rsidRPr="00881B46">
        <w:rPr>
          <w:color w:val="103951"/>
          <w:lang w:val="en-GB"/>
        </w:rPr>
        <w:t xml:space="preserve"> </w:t>
      </w:r>
      <w:r w:rsidR="00E62539" w:rsidRPr="00881B46">
        <w:rPr>
          <w:color w:val="103951"/>
          <w:lang w:val="en-GB"/>
        </w:rPr>
        <w:t xml:space="preserve">(ITC) </w:t>
      </w:r>
      <w:r w:rsidRPr="00881B46">
        <w:rPr>
          <w:color w:val="103951"/>
          <w:lang w:val="en-GB"/>
        </w:rPr>
        <w:t xml:space="preserve">Conference Grants </w:t>
      </w:r>
      <w:r w:rsidR="00CB4078" w:rsidRPr="00881B46">
        <w:rPr>
          <w:color w:val="103951"/>
          <w:lang w:val="en-GB"/>
        </w:rPr>
        <w:t xml:space="preserve">are </w:t>
      </w:r>
      <w:r w:rsidR="007B1D51" w:rsidRPr="00881B46">
        <w:rPr>
          <w:color w:val="103951"/>
          <w:lang w:val="en-GB"/>
        </w:rPr>
        <w:t xml:space="preserve">open to Young Researchers and </w:t>
      </w:r>
      <w:proofErr w:type="gramStart"/>
      <w:r w:rsidR="008A0D7C" w:rsidRPr="00881B46">
        <w:rPr>
          <w:color w:val="103951"/>
          <w:lang w:val="en-GB"/>
        </w:rPr>
        <w:t>Innovators</w:t>
      </w:r>
      <w:r w:rsidR="007B1D51" w:rsidRPr="00881B46">
        <w:rPr>
          <w:color w:val="103951"/>
          <w:lang w:val="en-GB"/>
        </w:rPr>
        <w:t xml:space="preserve"> </w:t>
      </w:r>
      <w:r w:rsidR="00D45C23" w:rsidRPr="00881B46">
        <w:rPr>
          <w:color w:val="103951"/>
          <w:lang w:val="en-GB"/>
        </w:rPr>
        <w:t xml:space="preserve"> </w:t>
      </w:r>
      <w:r w:rsidR="007B1D51" w:rsidRPr="00881B46">
        <w:rPr>
          <w:color w:val="103951"/>
          <w:lang w:val="en-GB"/>
        </w:rPr>
        <w:t>from</w:t>
      </w:r>
      <w:proofErr w:type="gramEnd"/>
      <w:r w:rsidR="007B1D51" w:rsidRPr="00881B46">
        <w:rPr>
          <w:color w:val="103951"/>
          <w:lang w:val="en-GB"/>
        </w:rPr>
        <w:t xml:space="preserve"> p</w:t>
      </w:r>
      <w:r w:rsidR="00CB4078" w:rsidRPr="00881B46">
        <w:rPr>
          <w:color w:val="103951"/>
          <w:lang w:val="en-GB"/>
        </w:rPr>
        <w:t xml:space="preserve">articipating ITCs </w:t>
      </w:r>
      <w:r w:rsidR="00B553B4" w:rsidRPr="00881B46">
        <w:rPr>
          <w:color w:val="103951"/>
          <w:lang w:val="en-GB"/>
        </w:rPr>
        <w:t xml:space="preserve">or </w:t>
      </w:r>
      <w:r w:rsidR="0033208F" w:rsidRPr="00881B46">
        <w:rPr>
          <w:color w:val="103951"/>
          <w:lang w:val="en-GB"/>
        </w:rPr>
        <w:t>N</w:t>
      </w:r>
      <w:r w:rsidR="00B553B4" w:rsidRPr="00881B46">
        <w:rPr>
          <w:color w:val="103951"/>
          <w:lang w:val="en-GB"/>
        </w:rPr>
        <w:t xml:space="preserve">NCs (Near </w:t>
      </w:r>
      <w:r w:rsidR="0033208F" w:rsidRPr="00881B46">
        <w:rPr>
          <w:color w:val="103951"/>
          <w:lang w:val="en-GB"/>
        </w:rPr>
        <w:t xml:space="preserve">Neighbour Countries) </w:t>
      </w:r>
      <w:r w:rsidR="00CB4078" w:rsidRPr="00881B46">
        <w:rPr>
          <w:color w:val="103951"/>
          <w:lang w:val="en-GB"/>
        </w:rPr>
        <w:t xml:space="preserve">to attend international conferences on the </w:t>
      </w:r>
      <w:r w:rsidR="00F640D2" w:rsidRPr="00881B46">
        <w:rPr>
          <w:color w:val="103951"/>
          <w:lang w:val="en-GB"/>
        </w:rPr>
        <w:t xml:space="preserve">MCMH related topics </w:t>
      </w:r>
      <w:r w:rsidR="00CB4078" w:rsidRPr="00881B46">
        <w:rPr>
          <w:color w:val="103951"/>
          <w:lang w:val="en-GB"/>
        </w:rPr>
        <w:t>that are not</w:t>
      </w:r>
      <w:r w:rsidRPr="00881B46">
        <w:rPr>
          <w:color w:val="103951"/>
          <w:lang w:val="en-GB"/>
        </w:rPr>
        <w:t xml:space="preserve"> </w:t>
      </w:r>
      <w:r w:rsidR="00F640D2" w:rsidRPr="00881B46">
        <w:rPr>
          <w:color w:val="103951"/>
          <w:lang w:val="en-GB"/>
        </w:rPr>
        <w:t>specifically organised by the COST Action.</w:t>
      </w:r>
    </w:p>
    <w:p w14:paraId="127D1B53" w14:textId="17D67500" w:rsidR="00620CFE" w:rsidRPr="00881B46" w:rsidRDefault="00620CFE" w:rsidP="00A31EC3">
      <w:pPr>
        <w:rPr>
          <w:color w:val="103951"/>
          <w:lang w:val="en-GB"/>
        </w:rPr>
      </w:pPr>
      <w:r w:rsidRPr="00881B46">
        <w:rPr>
          <w:color w:val="103951"/>
          <w:lang w:val="en-GB"/>
        </w:rPr>
        <w:t>The main goal</w:t>
      </w:r>
      <w:r w:rsidR="00341D1F" w:rsidRPr="00881B46">
        <w:rPr>
          <w:color w:val="103951"/>
          <w:lang w:val="en-GB"/>
        </w:rPr>
        <w:t xml:space="preserve"> of </w:t>
      </w:r>
      <w:r w:rsidR="000F57AA" w:rsidRPr="00881B46">
        <w:rPr>
          <w:color w:val="103951"/>
          <w:lang w:val="en-GB"/>
        </w:rPr>
        <w:t xml:space="preserve">this </w:t>
      </w:r>
      <w:r w:rsidR="005D0E5B" w:rsidRPr="00881B46">
        <w:rPr>
          <w:color w:val="103951"/>
          <w:lang w:val="en-GB"/>
        </w:rPr>
        <w:t>COST Action networking</w:t>
      </w:r>
      <w:r w:rsidR="000F57AA" w:rsidRPr="00881B46">
        <w:rPr>
          <w:color w:val="103951"/>
          <w:lang w:val="en-GB"/>
        </w:rPr>
        <w:t xml:space="preserve"> tool</w:t>
      </w:r>
      <w:r w:rsidRPr="00881B46">
        <w:rPr>
          <w:color w:val="103951"/>
          <w:lang w:val="en-GB"/>
        </w:rPr>
        <w:t xml:space="preserve"> is to encourage young researchers from </w:t>
      </w:r>
      <w:r w:rsidR="00B553B4" w:rsidRPr="00881B46">
        <w:rPr>
          <w:color w:val="103951"/>
          <w:lang w:val="en-GB"/>
        </w:rPr>
        <w:t>ITCs and NNCs</w:t>
      </w:r>
      <w:r w:rsidRPr="00881B46">
        <w:rPr>
          <w:color w:val="103951"/>
          <w:lang w:val="en-GB"/>
        </w:rPr>
        <w:t xml:space="preserve">, which face the greatest obstacles </w:t>
      </w:r>
      <w:r w:rsidR="000F57AA" w:rsidRPr="00881B46">
        <w:rPr>
          <w:color w:val="103951"/>
          <w:lang w:val="en-GB"/>
        </w:rPr>
        <w:t>in their work</w:t>
      </w:r>
      <w:r w:rsidRPr="00881B46">
        <w:rPr>
          <w:color w:val="103951"/>
          <w:lang w:val="en-GB"/>
        </w:rPr>
        <w:t xml:space="preserve"> because of unequal access to knowledge infrastructures, </w:t>
      </w:r>
      <w:proofErr w:type="gramStart"/>
      <w:r w:rsidRPr="00881B46">
        <w:rPr>
          <w:color w:val="103951"/>
          <w:lang w:val="en-GB"/>
        </w:rPr>
        <w:t>funding</w:t>
      </w:r>
      <w:proofErr w:type="gramEnd"/>
      <w:r w:rsidRPr="00881B46">
        <w:rPr>
          <w:color w:val="103951"/>
          <w:lang w:val="en-GB"/>
        </w:rPr>
        <w:t xml:space="preserve"> and resources.</w:t>
      </w:r>
    </w:p>
    <w:p w14:paraId="027498CD" w14:textId="6FD178FD" w:rsidR="00620CFE" w:rsidRPr="00881B46" w:rsidRDefault="00620CFE" w:rsidP="00620CFE">
      <w:pPr>
        <w:rPr>
          <w:color w:val="103951"/>
          <w:lang w:val="en-GB"/>
        </w:rPr>
      </w:pPr>
      <w:r w:rsidRPr="00881B46">
        <w:rPr>
          <w:color w:val="103951"/>
          <w:lang w:val="en-GB"/>
        </w:rPr>
        <w:t xml:space="preserve">Detailed information on participants’ eligibility, evaluation and selection, financial support, and grant payment procedures can be found in COST Action </w:t>
      </w:r>
      <w:r w:rsidR="005D0E5B" w:rsidRPr="00881B46">
        <w:rPr>
          <w:color w:val="103951"/>
          <w:lang w:val="en-GB"/>
        </w:rPr>
        <w:t xml:space="preserve">ITC Conference Grants </w:t>
      </w:r>
      <w:r w:rsidRPr="00881B46">
        <w:rPr>
          <w:color w:val="103951"/>
          <w:lang w:val="en-GB"/>
        </w:rPr>
        <w:t xml:space="preserve">User Guide [link], and Section </w:t>
      </w:r>
      <w:r w:rsidR="005D0E5B" w:rsidRPr="00881B46">
        <w:rPr>
          <w:color w:val="103951"/>
          <w:lang w:val="en-GB"/>
        </w:rPr>
        <w:t>9</w:t>
      </w:r>
      <w:r w:rsidRPr="00881B46">
        <w:rPr>
          <w:color w:val="103951"/>
          <w:lang w:val="en-GB"/>
        </w:rPr>
        <w:t xml:space="preserve"> </w:t>
      </w:r>
      <w:bookmarkStart w:id="0" w:name="_Hlk23749888"/>
      <w:r w:rsidRPr="00881B46">
        <w:rPr>
          <w:color w:val="103951"/>
          <w:lang w:val="en-GB"/>
        </w:rPr>
        <w:t>of the </w:t>
      </w:r>
      <w:hyperlink r:id="rId7" w:tgtFrame="_blank" w:history="1">
        <w:r w:rsidRPr="00881B46">
          <w:rPr>
            <w:color w:val="103951"/>
            <w:lang w:val="en-GB"/>
          </w:rPr>
          <w:t xml:space="preserve">COST </w:t>
        </w:r>
        <w:proofErr w:type="spellStart"/>
        <w:r w:rsidRPr="00881B46">
          <w:rPr>
            <w:color w:val="103951"/>
            <w:lang w:val="en-GB"/>
          </w:rPr>
          <w:t>Vademecum</w:t>
        </w:r>
        <w:proofErr w:type="spellEnd"/>
      </w:hyperlink>
      <w:r w:rsidRPr="00881B46">
        <w:rPr>
          <w:color w:val="103951"/>
          <w:lang w:val="en-GB"/>
        </w:rPr>
        <w:t xml:space="preserve"> [link].</w:t>
      </w:r>
    </w:p>
    <w:bookmarkEnd w:id="0"/>
    <w:p w14:paraId="133E59DC" w14:textId="77777777" w:rsidR="0022303D" w:rsidRPr="00881B46" w:rsidRDefault="0022303D" w:rsidP="00741307">
      <w:pPr>
        <w:rPr>
          <w:b/>
          <w:bCs/>
          <w:color w:val="103951"/>
          <w:lang w:val="en-GB"/>
        </w:rPr>
      </w:pPr>
    </w:p>
    <w:p w14:paraId="7BAE816B" w14:textId="55D62460" w:rsidR="00251760" w:rsidRPr="00881B46" w:rsidRDefault="00DF13EA" w:rsidP="00741307">
      <w:pPr>
        <w:rPr>
          <w:b/>
          <w:bCs/>
          <w:color w:val="103951"/>
          <w:lang w:val="en-GB"/>
        </w:rPr>
      </w:pPr>
      <w:r w:rsidRPr="00881B46">
        <w:rPr>
          <w:b/>
          <w:bCs/>
          <w:color w:val="103951"/>
          <w:lang w:val="en-GB"/>
        </w:rPr>
        <w:t>APPLICATION</w:t>
      </w:r>
    </w:p>
    <w:p w14:paraId="6FDED369" w14:textId="70A7EECD" w:rsidR="00741307" w:rsidRPr="00881B46" w:rsidRDefault="00741307" w:rsidP="00741307">
      <w:pPr>
        <w:rPr>
          <w:b/>
          <w:bCs/>
          <w:color w:val="103951"/>
          <w:lang w:val="en-GB"/>
        </w:rPr>
      </w:pPr>
      <w:r w:rsidRPr="00881B46">
        <w:rPr>
          <w:b/>
          <w:bCs/>
          <w:color w:val="103951"/>
          <w:lang w:val="en-GB"/>
        </w:rPr>
        <w:t>Who can apply?</w:t>
      </w:r>
    </w:p>
    <w:p w14:paraId="79EE6487" w14:textId="6D8C4FDF" w:rsidR="00741307" w:rsidRPr="00881B46" w:rsidRDefault="00741307" w:rsidP="00741307">
      <w:pPr>
        <w:rPr>
          <w:color w:val="103951"/>
          <w:lang w:val="en-GB"/>
        </w:rPr>
      </w:pPr>
      <w:r w:rsidRPr="00881B46">
        <w:rPr>
          <w:color w:val="103951"/>
          <w:lang w:val="en-GB"/>
        </w:rPr>
        <w:t xml:space="preserve">Conference Grants are exclusively reserved for </w:t>
      </w:r>
      <w:r w:rsidR="00D45C23" w:rsidRPr="00881B46">
        <w:rPr>
          <w:color w:val="103951"/>
          <w:lang w:val="en-GB"/>
        </w:rPr>
        <w:t xml:space="preserve">Young Researchers and </w:t>
      </w:r>
      <w:r w:rsidR="008A0D7C" w:rsidRPr="00881B46">
        <w:rPr>
          <w:color w:val="103951"/>
          <w:lang w:val="en-GB"/>
        </w:rPr>
        <w:t>Innovators</w:t>
      </w:r>
      <w:r w:rsidR="00D45C23" w:rsidRPr="00881B46">
        <w:rPr>
          <w:color w:val="103951"/>
          <w:lang w:val="en-GB"/>
        </w:rPr>
        <w:t xml:space="preserve"> (YRI</w:t>
      </w:r>
      <w:r w:rsidR="00100F1B" w:rsidRPr="00881B46">
        <w:rPr>
          <w:color w:val="103951"/>
          <w:lang w:val="en-GB"/>
        </w:rPr>
        <w:t xml:space="preserve">), that is individuals </w:t>
      </w:r>
      <w:r w:rsidR="0033208F" w:rsidRPr="00881B46">
        <w:rPr>
          <w:color w:val="103951"/>
          <w:lang w:val="en-GB"/>
        </w:rPr>
        <w:t>under</w:t>
      </w:r>
      <w:r w:rsidR="00100F1B" w:rsidRPr="00881B46">
        <w:rPr>
          <w:color w:val="103951"/>
          <w:lang w:val="en-GB"/>
        </w:rPr>
        <w:t> 40 years old, who are affiliated to a legal entity in</w:t>
      </w:r>
      <w:r w:rsidRPr="00881B46">
        <w:rPr>
          <w:color w:val="103951"/>
          <w:lang w:val="en-GB"/>
        </w:rPr>
        <w:t xml:space="preserve"> an ITC </w:t>
      </w:r>
      <w:r w:rsidR="0033208F" w:rsidRPr="00881B46">
        <w:rPr>
          <w:color w:val="103951"/>
          <w:lang w:val="en-GB"/>
        </w:rPr>
        <w:t xml:space="preserve">or a NNC </w:t>
      </w:r>
      <w:r w:rsidRPr="00881B46">
        <w:rPr>
          <w:color w:val="103951"/>
          <w:lang w:val="en-GB"/>
        </w:rPr>
        <w:t>participating in the Action.</w:t>
      </w:r>
      <w:r w:rsidR="009B6F1F" w:rsidRPr="00881B46">
        <w:rPr>
          <w:color w:val="103951"/>
          <w:lang w:val="en-GB"/>
        </w:rPr>
        <w:t xml:space="preserve"> </w:t>
      </w:r>
    </w:p>
    <w:p w14:paraId="3972FDAC" w14:textId="7D9C0ECE" w:rsidR="00741307" w:rsidRPr="00881B46" w:rsidRDefault="00741307" w:rsidP="00137272">
      <w:pPr>
        <w:rPr>
          <w:color w:val="103951"/>
          <w:lang w:val="en-GB"/>
        </w:rPr>
      </w:pPr>
      <w:r w:rsidRPr="00881B46">
        <w:rPr>
          <w:color w:val="103951"/>
          <w:lang w:val="en-GB"/>
        </w:rPr>
        <w:t xml:space="preserve">The ITCs </w:t>
      </w:r>
      <w:proofErr w:type="gramStart"/>
      <w:r w:rsidRPr="00881B46">
        <w:rPr>
          <w:color w:val="103951"/>
          <w:lang w:val="en-GB"/>
        </w:rPr>
        <w:t>are</w:t>
      </w:r>
      <w:r w:rsidR="00137272" w:rsidRPr="00881B46">
        <w:rPr>
          <w:color w:val="103951"/>
          <w:lang w:val="en-GB"/>
        </w:rPr>
        <w:t>:</w:t>
      </w:r>
      <w:proofErr w:type="gramEnd"/>
      <w:r w:rsidRPr="00881B46">
        <w:rPr>
          <w:color w:val="103951"/>
          <w:lang w:val="en-GB"/>
        </w:rPr>
        <w:t xml:space="preserve"> </w:t>
      </w:r>
      <w:r w:rsidR="00100F1B" w:rsidRPr="00881B46">
        <w:rPr>
          <w:color w:val="103951"/>
          <w:lang w:val="en-GB"/>
        </w:rPr>
        <w:t>Albania, Bosnia and Herzegovina, Bulgaria, Croatia, Cyprus, Czech Republic, Estonia, Greece, North Macedonia, Hungary, Latvia, Lithuania, Malta, Moldova, Montenegro, Poland, Portugal, Romania, Serbia, Slovakia, Slovenia, Turkey</w:t>
      </w:r>
      <w:r w:rsidR="00137272" w:rsidRPr="00881B46">
        <w:rPr>
          <w:color w:val="103951"/>
          <w:lang w:val="en-GB"/>
        </w:rPr>
        <w:t>.</w:t>
      </w:r>
    </w:p>
    <w:p w14:paraId="66F0ED52" w14:textId="090FD059" w:rsidR="00100F1B" w:rsidRPr="00881B46" w:rsidRDefault="00100F1B" w:rsidP="00137272">
      <w:pPr>
        <w:rPr>
          <w:color w:val="103951"/>
          <w:lang w:val="en-GB"/>
        </w:rPr>
      </w:pPr>
      <w:r w:rsidRPr="00881B46">
        <w:rPr>
          <w:color w:val="103951"/>
          <w:lang w:val="en-GB"/>
        </w:rPr>
        <w:t>The NNC</w:t>
      </w:r>
      <w:r w:rsidR="0033208F" w:rsidRPr="00881B46">
        <w:rPr>
          <w:color w:val="103951"/>
          <w:lang w:val="en-GB"/>
        </w:rPr>
        <w:t>s</w:t>
      </w:r>
      <w:r w:rsidRPr="00881B46">
        <w:rPr>
          <w:color w:val="103951"/>
          <w:lang w:val="en-GB"/>
        </w:rPr>
        <w:t xml:space="preserve"> </w:t>
      </w:r>
      <w:proofErr w:type="gramStart"/>
      <w:r w:rsidRPr="00881B46">
        <w:rPr>
          <w:color w:val="103951"/>
          <w:lang w:val="en-GB"/>
        </w:rPr>
        <w:t>are:</w:t>
      </w:r>
      <w:proofErr w:type="gramEnd"/>
      <w:r w:rsidRPr="00881B46">
        <w:rPr>
          <w:color w:val="103951"/>
          <w:lang w:val="en-GB"/>
        </w:rPr>
        <w:t xml:space="preserve"> Algeria, Armenia, Azerbaijan, Belarus, Egypt, Georgia, Jordan, Kosovo, Lebanon, Libya, Morocco, the Palestinian Authority, Russia, Syria, Tunisia and Ukraine (The designation of Kosovo is without prejudice to position on status, and is in line with UNSCR 1244/1999 and the ICJ Opinion on the Kosovo declaration of independence.)</w:t>
      </w:r>
    </w:p>
    <w:p w14:paraId="4D2A1A6E" w14:textId="77777777" w:rsidR="00F5434F" w:rsidRDefault="00F5434F" w:rsidP="00741307">
      <w:pPr>
        <w:rPr>
          <w:color w:val="103951"/>
          <w:lang w:val="en-GB"/>
        </w:rPr>
      </w:pPr>
    </w:p>
    <w:p w14:paraId="00318306" w14:textId="77777777" w:rsidR="00B12458" w:rsidRDefault="00B12458" w:rsidP="00741307">
      <w:pPr>
        <w:rPr>
          <w:color w:val="103951"/>
          <w:lang w:val="en-GB"/>
        </w:rPr>
      </w:pPr>
    </w:p>
    <w:p w14:paraId="687FD2A9" w14:textId="135A09AA" w:rsidR="005D0E5B" w:rsidRPr="00881B46" w:rsidRDefault="004E6A99" w:rsidP="00741307">
      <w:pPr>
        <w:rPr>
          <w:color w:val="103951"/>
          <w:lang w:val="en-GB"/>
        </w:rPr>
      </w:pPr>
      <w:r w:rsidRPr="00881B46">
        <w:rPr>
          <w:color w:val="103951"/>
          <w:lang w:val="en-GB"/>
        </w:rPr>
        <w:t>Please note that the a</w:t>
      </w:r>
      <w:r w:rsidR="009B6F1F" w:rsidRPr="00881B46">
        <w:rPr>
          <w:color w:val="103951"/>
          <w:lang w:val="en-GB"/>
        </w:rPr>
        <w:t xml:space="preserve">pplicants must be registered participants of </w:t>
      </w:r>
      <w:r w:rsidR="00C97C96" w:rsidRPr="00881B46">
        <w:rPr>
          <w:color w:val="103951"/>
          <w:lang w:val="en-GB"/>
        </w:rPr>
        <w:t>MCMH-EU.</w:t>
      </w:r>
    </w:p>
    <w:p w14:paraId="77E1CB20" w14:textId="134E6333" w:rsidR="00A165B7" w:rsidRPr="00881B46" w:rsidRDefault="00741307" w:rsidP="00341D1F">
      <w:pPr>
        <w:rPr>
          <w:b/>
          <w:bCs/>
          <w:color w:val="103951"/>
          <w:lang w:val="en-GB"/>
        </w:rPr>
      </w:pPr>
      <w:r w:rsidRPr="00881B46">
        <w:rPr>
          <w:b/>
          <w:bCs/>
          <w:color w:val="103951"/>
          <w:lang w:val="en-GB"/>
        </w:rPr>
        <w:t>What is expected from you?</w:t>
      </w:r>
    </w:p>
    <w:p w14:paraId="37735F03" w14:textId="1F27733B" w:rsidR="0023670C" w:rsidRPr="00881B46" w:rsidRDefault="00341D1F" w:rsidP="00341D1F">
      <w:pPr>
        <w:rPr>
          <w:color w:val="103951"/>
          <w:lang w:val="en-GB"/>
        </w:rPr>
      </w:pPr>
      <w:r w:rsidRPr="00881B46">
        <w:rPr>
          <w:color w:val="103951"/>
          <w:lang w:val="en-GB"/>
        </w:rPr>
        <w:t xml:space="preserve">The applicant must make an oral/poster presentation at the conference in question and must be listed in the official conference programme. The main subject of the presentation at the approved conference must be on the topic of the Action and must acknowledge COST </w:t>
      </w:r>
      <w:r w:rsidR="00BF2ABD" w:rsidRPr="00881B46">
        <w:rPr>
          <w:color w:val="103951"/>
          <w:lang w:val="en-GB"/>
        </w:rPr>
        <w:t>support</w:t>
      </w:r>
      <w:r w:rsidRPr="00881B46">
        <w:rPr>
          <w:color w:val="103951"/>
          <w:lang w:val="en-GB"/>
        </w:rPr>
        <w:t>.</w:t>
      </w:r>
    </w:p>
    <w:p w14:paraId="19F0120A" w14:textId="1184F97E" w:rsidR="0023670C" w:rsidRPr="00881B46" w:rsidRDefault="00855910" w:rsidP="00DF13EA">
      <w:pPr>
        <w:rPr>
          <w:color w:val="103951"/>
          <w:lang w:val="en-GB"/>
        </w:rPr>
      </w:pPr>
      <w:r w:rsidRPr="00881B46">
        <w:rPr>
          <w:color w:val="103951"/>
          <w:lang w:val="en-GB"/>
        </w:rPr>
        <w:t>Accordingly, i</w:t>
      </w:r>
      <w:r w:rsidR="0023670C" w:rsidRPr="00881B46">
        <w:rPr>
          <w:color w:val="103951"/>
          <w:lang w:val="en-GB"/>
        </w:rPr>
        <w:t>f the grant is approved</w:t>
      </w:r>
      <w:r w:rsidRPr="00881B46">
        <w:rPr>
          <w:color w:val="103951"/>
          <w:lang w:val="en-GB"/>
        </w:rPr>
        <w:t xml:space="preserve">, </w:t>
      </w:r>
      <w:r w:rsidR="0023670C" w:rsidRPr="00881B46">
        <w:rPr>
          <w:color w:val="103951"/>
          <w:lang w:val="en-GB"/>
        </w:rPr>
        <w:t xml:space="preserve">you are kindly requested to acknowledge the support provided by COST Association and COST Action 18137, </w:t>
      </w:r>
      <w:r w:rsidR="00341D1F" w:rsidRPr="00881B46">
        <w:rPr>
          <w:color w:val="103951"/>
          <w:lang w:val="en-GB"/>
        </w:rPr>
        <w:t xml:space="preserve">according to instructions from the Section 10 of the COST </w:t>
      </w:r>
      <w:proofErr w:type="spellStart"/>
      <w:r w:rsidR="00341D1F" w:rsidRPr="00881B46">
        <w:rPr>
          <w:color w:val="103951"/>
          <w:lang w:val="en-GB"/>
        </w:rPr>
        <w:t>Vademecum</w:t>
      </w:r>
      <w:proofErr w:type="spellEnd"/>
      <w:r w:rsidR="00341D1F" w:rsidRPr="00881B46">
        <w:rPr>
          <w:color w:val="103951"/>
          <w:lang w:val="en-GB"/>
        </w:rPr>
        <w:t xml:space="preserve"> [link].</w:t>
      </w:r>
      <w:r w:rsidR="0023670C" w:rsidRPr="00881B46">
        <w:rPr>
          <w:color w:val="103951"/>
          <w:lang w:val="en-GB"/>
        </w:rPr>
        <w:t xml:space="preserve"> </w:t>
      </w:r>
      <w:r w:rsidR="00DF13EA" w:rsidRPr="00881B46">
        <w:rPr>
          <w:color w:val="103951"/>
          <w:lang w:val="en-GB"/>
        </w:rPr>
        <w:t xml:space="preserve">COST Association and COST Action </w:t>
      </w:r>
      <w:r w:rsidR="0023670C" w:rsidRPr="00881B46">
        <w:rPr>
          <w:color w:val="103951"/>
          <w:lang w:val="en-GB"/>
        </w:rPr>
        <w:t>18137</w:t>
      </w:r>
      <w:r w:rsidR="00DF13EA" w:rsidRPr="00881B46">
        <w:rPr>
          <w:color w:val="103951"/>
          <w:lang w:val="en-GB"/>
        </w:rPr>
        <w:t xml:space="preserve"> logos can be downloaded here and here.</w:t>
      </w:r>
    </w:p>
    <w:p w14:paraId="47408F6F" w14:textId="7A995917" w:rsidR="00741307" w:rsidRPr="00881B46" w:rsidRDefault="00741307" w:rsidP="00741307">
      <w:pPr>
        <w:rPr>
          <w:b/>
          <w:bCs/>
          <w:color w:val="103951"/>
          <w:lang w:val="en-GB"/>
        </w:rPr>
      </w:pPr>
      <w:r w:rsidRPr="00881B46">
        <w:rPr>
          <w:b/>
          <w:bCs/>
          <w:color w:val="103951"/>
          <w:lang w:val="en-GB"/>
        </w:rPr>
        <w:t>What can you apply for?</w:t>
      </w:r>
    </w:p>
    <w:p w14:paraId="1FD9626D" w14:textId="3102E422" w:rsidR="00741307" w:rsidRPr="00881B46" w:rsidRDefault="00741307" w:rsidP="00741307">
      <w:pPr>
        <w:rPr>
          <w:color w:val="103951"/>
          <w:lang w:val="en-GB"/>
        </w:rPr>
      </w:pPr>
      <w:r w:rsidRPr="00881B46">
        <w:rPr>
          <w:color w:val="103951"/>
          <w:lang w:val="en-GB"/>
        </w:rPr>
        <w:t xml:space="preserve">A Conference Grant is a </w:t>
      </w:r>
      <w:r w:rsidR="003E0102" w:rsidRPr="00881B46">
        <w:rPr>
          <w:color w:val="103951"/>
          <w:lang w:val="en-GB"/>
        </w:rPr>
        <w:t xml:space="preserve">fixed financial </w:t>
      </w:r>
      <w:r w:rsidRPr="00881B46">
        <w:rPr>
          <w:color w:val="103951"/>
          <w:lang w:val="en-GB"/>
        </w:rPr>
        <w:t xml:space="preserve">contribution to the overall travel, </w:t>
      </w:r>
      <w:proofErr w:type="gramStart"/>
      <w:r w:rsidRPr="00881B46">
        <w:rPr>
          <w:color w:val="103951"/>
          <w:lang w:val="en-GB"/>
        </w:rPr>
        <w:t>accommodation</w:t>
      </w:r>
      <w:proofErr w:type="gramEnd"/>
      <w:r w:rsidRPr="00881B46">
        <w:rPr>
          <w:color w:val="103951"/>
          <w:lang w:val="en-GB"/>
        </w:rPr>
        <w:t xml:space="preserve"> and meal expenses, and does not necessarily cover all the expenses related to participating in the conference.</w:t>
      </w:r>
      <w:r w:rsidR="00CF4DC4" w:rsidRPr="00881B46">
        <w:rPr>
          <w:color w:val="103951"/>
          <w:lang w:val="en-GB"/>
        </w:rPr>
        <w:t xml:space="preserve"> Attendance at European conferences is preferred. However, conferences held elsewhere can also be considered</w:t>
      </w:r>
      <w:r w:rsidR="00C97C96" w:rsidRPr="00881B46">
        <w:rPr>
          <w:color w:val="103951"/>
          <w:lang w:val="en-GB"/>
        </w:rPr>
        <w:t>.</w:t>
      </w:r>
    </w:p>
    <w:p w14:paraId="237D5785" w14:textId="290DCABB" w:rsidR="005F78FB" w:rsidRPr="00881B46" w:rsidRDefault="003F02D7" w:rsidP="005F78FB">
      <w:pPr>
        <w:rPr>
          <w:color w:val="103951"/>
          <w:lang w:val="en-GB"/>
        </w:rPr>
      </w:pPr>
      <w:r w:rsidRPr="00881B46">
        <w:rPr>
          <w:color w:val="103951"/>
          <w:lang w:val="en-GB"/>
        </w:rPr>
        <w:t>The sum of EUR 9 000 in total will be afforded to successful applicants</w:t>
      </w:r>
      <w:r w:rsidR="00603A98" w:rsidRPr="00881B46">
        <w:rPr>
          <w:color w:val="103951"/>
          <w:lang w:val="en-GB"/>
        </w:rPr>
        <w:t>, according to f</w:t>
      </w:r>
      <w:r w:rsidR="00BA405C" w:rsidRPr="00881B46">
        <w:rPr>
          <w:color w:val="103951"/>
          <w:lang w:val="en-GB"/>
        </w:rPr>
        <w:t>o</w:t>
      </w:r>
      <w:r w:rsidR="00603A98" w:rsidRPr="00881B46">
        <w:rPr>
          <w:color w:val="103951"/>
          <w:lang w:val="en-GB"/>
        </w:rPr>
        <w:t xml:space="preserve">llowing </w:t>
      </w:r>
      <w:r w:rsidR="00BA405C" w:rsidRPr="00881B46">
        <w:rPr>
          <w:color w:val="103951"/>
          <w:lang w:val="en-GB"/>
        </w:rPr>
        <w:t>conditions:</w:t>
      </w:r>
    </w:p>
    <w:p w14:paraId="1A934CAE" w14:textId="5F8DD80F" w:rsidR="005F78FB" w:rsidRPr="00881B46" w:rsidRDefault="005F78FB" w:rsidP="005F78FB">
      <w:pPr>
        <w:pStyle w:val="ListParagraph"/>
        <w:numPr>
          <w:ilvl w:val="0"/>
          <w:numId w:val="6"/>
        </w:numPr>
        <w:rPr>
          <w:color w:val="103951"/>
          <w:lang w:val="en-GB"/>
        </w:rPr>
      </w:pPr>
      <w:r w:rsidRPr="00881B46">
        <w:rPr>
          <w:color w:val="103951"/>
          <w:lang w:val="en-GB"/>
        </w:rPr>
        <w:t xml:space="preserve">Up to a maximum of EUR </w:t>
      </w:r>
      <w:r w:rsidR="003A2CF2" w:rsidRPr="00881B46">
        <w:rPr>
          <w:color w:val="103951"/>
          <w:lang w:val="en-GB"/>
        </w:rPr>
        <w:t>1.</w:t>
      </w:r>
      <w:r w:rsidRPr="00881B46">
        <w:rPr>
          <w:color w:val="103951"/>
          <w:lang w:val="en-GB"/>
        </w:rPr>
        <w:t xml:space="preserve"> </w:t>
      </w:r>
      <w:r w:rsidR="003A2CF2" w:rsidRPr="00881B46">
        <w:rPr>
          <w:color w:val="103951"/>
          <w:lang w:val="en-GB"/>
        </w:rPr>
        <w:t>5</w:t>
      </w:r>
      <w:r w:rsidRPr="00881B46">
        <w:rPr>
          <w:color w:val="103951"/>
          <w:lang w:val="en-GB"/>
        </w:rPr>
        <w:t xml:space="preserve">00 </w:t>
      </w:r>
      <w:r w:rsidR="00BA405C" w:rsidRPr="00881B46">
        <w:rPr>
          <w:color w:val="103951"/>
          <w:lang w:val="en-GB"/>
        </w:rPr>
        <w:t xml:space="preserve">for </w:t>
      </w:r>
      <w:proofErr w:type="spellStart"/>
      <w:r w:rsidR="004F2C74" w:rsidRPr="00881B46">
        <w:rPr>
          <w:color w:val="103951"/>
          <w:lang w:val="en-GB"/>
        </w:rPr>
        <w:t>for</w:t>
      </w:r>
      <w:proofErr w:type="spellEnd"/>
      <w:r w:rsidR="004F2C74" w:rsidRPr="00881B46">
        <w:rPr>
          <w:color w:val="103951"/>
          <w:lang w:val="en-GB"/>
        </w:rPr>
        <w:t xml:space="preserve"> </w:t>
      </w:r>
      <w:proofErr w:type="gramStart"/>
      <w:r w:rsidR="004F2C74" w:rsidRPr="00881B46">
        <w:rPr>
          <w:color w:val="103951"/>
          <w:lang w:val="en-GB"/>
        </w:rPr>
        <w:t>face to face</w:t>
      </w:r>
      <w:proofErr w:type="gramEnd"/>
      <w:r w:rsidR="004F2C74" w:rsidRPr="00881B46">
        <w:rPr>
          <w:color w:val="103951"/>
          <w:lang w:val="en-GB"/>
        </w:rPr>
        <w:t xml:space="preserve"> events, including Conference Fees</w:t>
      </w:r>
      <w:r w:rsidRPr="00881B46">
        <w:rPr>
          <w:color w:val="103951"/>
          <w:lang w:val="en-GB"/>
        </w:rPr>
        <w:t>;</w:t>
      </w:r>
    </w:p>
    <w:p w14:paraId="3D0F6E8D" w14:textId="04772DC9" w:rsidR="005F78FB" w:rsidRPr="00881B46" w:rsidRDefault="005F78FB" w:rsidP="005F78FB">
      <w:pPr>
        <w:pStyle w:val="ListParagraph"/>
        <w:numPr>
          <w:ilvl w:val="0"/>
          <w:numId w:val="6"/>
        </w:numPr>
        <w:rPr>
          <w:color w:val="103951"/>
          <w:lang w:val="en-GB"/>
        </w:rPr>
      </w:pPr>
      <w:r w:rsidRPr="00881B46">
        <w:rPr>
          <w:color w:val="103951"/>
          <w:lang w:val="en-GB"/>
        </w:rPr>
        <w:t xml:space="preserve">Up to a maximum of EUR 500 </w:t>
      </w:r>
      <w:r w:rsidR="000A51DD" w:rsidRPr="00881B46">
        <w:rPr>
          <w:color w:val="103951"/>
          <w:lang w:val="en-GB"/>
        </w:rPr>
        <w:t>for Virtual Conferences fees</w:t>
      </w:r>
      <w:r w:rsidRPr="00881B46">
        <w:rPr>
          <w:color w:val="103951"/>
          <w:lang w:val="en-GB"/>
        </w:rPr>
        <w:t>.</w:t>
      </w:r>
    </w:p>
    <w:p w14:paraId="6B5F9D1A" w14:textId="480AF272" w:rsidR="00BD25D9" w:rsidRPr="00881B46" w:rsidRDefault="00BD25D9" w:rsidP="00BD25D9">
      <w:pPr>
        <w:rPr>
          <w:color w:val="103951"/>
        </w:rPr>
      </w:pPr>
      <w:r w:rsidRPr="00881B46">
        <w:rPr>
          <w:color w:val="103951"/>
          <w:lang w:val="en-GB"/>
        </w:rPr>
        <w:t xml:space="preserve">For </w:t>
      </w:r>
      <w:proofErr w:type="gramStart"/>
      <w:r w:rsidRPr="00881B46">
        <w:rPr>
          <w:color w:val="103951"/>
          <w:lang w:val="en-GB"/>
        </w:rPr>
        <w:t>face to face</w:t>
      </w:r>
      <w:proofErr w:type="gramEnd"/>
      <w:r w:rsidRPr="00881B46">
        <w:rPr>
          <w:color w:val="103951"/>
          <w:lang w:val="en-GB"/>
        </w:rPr>
        <w:t xml:space="preserve"> events,</w:t>
      </w:r>
      <w:r w:rsidR="00603A98" w:rsidRPr="00881B46">
        <w:rPr>
          <w:color w:val="103951"/>
        </w:rPr>
        <w:t xml:space="preserve"> </w:t>
      </w:r>
      <w:r w:rsidR="00603A98" w:rsidRPr="00881B46">
        <w:rPr>
          <w:color w:val="103951"/>
          <w:lang w:val="en-GB"/>
        </w:rPr>
        <w:t>the calculation of the financial contribution for each Conference Grant respect the following criteria:</w:t>
      </w:r>
    </w:p>
    <w:p w14:paraId="29CFB15D" w14:textId="77777777" w:rsidR="00603A98" w:rsidRPr="00881B46" w:rsidRDefault="00603A98" w:rsidP="00603A98">
      <w:pPr>
        <w:pStyle w:val="ListParagraph"/>
        <w:numPr>
          <w:ilvl w:val="0"/>
          <w:numId w:val="6"/>
        </w:numPr>
        <w:rPr>
          <w:color w:val="103951"/>
          <w:lang w:val="en-GB"/>
        </w:rPr>
      </w:pPr>
      <w:r w:rsidRPr="00881B46">
        <w:rPr>
          <w:color w:val="103951"/>
          <w:lang w:val="en-GB"/>
        </w:rPr>
        <w:t xml:space="preserve">Up to a maximum of EUR 160 per day can be afforded for accommodation and meal </w:t>
      </w:r>
      <w:proofErr w:type="gramStart"/>
      <w:r w:rsidRPr="00881B46">
        <w:rPr>
          <w:color w:val="103951"/>
          <w:lang w:val="en-GB"/>
        </w:rPr>
        <w:t>expenses;</w:t>
      </w:r>
      <w:proofErr w:type="gramEnd"/>
    </w:p>
    <w:p w14:paraId="1FD3F3A3" w14:textId="77777777" w:rsidR="00603A98" w:rsidRPr="00881B46" w:rsidRDefault="00603A98" w:rsidP="00603A98">
      <w:pPr>
        <w:pStyle w:val="ListParagraph"/>
        <w:numPr>
          <w:ilvl w:val="0"/>
          <w:numId w:val="6"/>
        </w:numPr>
        <w:rPr>
          <w:color w:val="103951"/>
          <w:lang w:val="en-GB"/>
        </w:rPr>
      </w:pPr>
      <w:r w:rsidRPr="00881B46">
        <w:rPr>
          <w:color w:val="103951"/>
          <w:lang w:val="en-GB"/>
        </w:rPr>
        <w:t>Up to a maximum of EUR 500 can be claimed for the conference fees to be incurred by the selected Grantee.</w:t>
      </w:r>
    </w:p>
    <w:p w14:paraId="1410F7A9" w14:textId="77777777" w:rsidR="005F78FB" w:rsidRPr="00881B46" w:rsidRDefault="005F78FB" w:rsidP="005F78FB">
      <w:pPr>
        <w:rPr>
          <w:color w:val="103951"/>
          <w:lang w:val="en-GB"/>
        </w:rPr>
      </w:pPr>
      <w:r w:rsidRPr="00881B46">
        <w:rPr>
          <w:color w:val="103951"/>
          <w:lang w:val="en-GB"/>
        </w:rPr>
        <w:t>ITC Conference Grants can be combined with other funding sources, and these must be acknowledged in the application. When meal and accommodation expenses are supported by the hosting institution as part of the provisions offered in their conference package, the amount for subsistence afforded to each eligible participant must be deducted from the Grant. Documentary evidence of the conference fee amount must be provided by the applicant.</w:t>
      </w:r>
    </w:p>
    <w:p w14:paraId="2327C0F8" w14:textId="77777777" w:rsidR="00393EBC" w:rsidRPr="00881B46" w:rsidRDefault="00393EBC" w:rsidP="00933A75">
      <w:pPr>
        <w:rPr>
          <w:color w:val="103951"/>
          <w:lang w:val="en-GB"/>
        </w:rPr>
      </w:pPr>
    </w:p>
    <w:p w14:paraId="188D757D" w14:textId="77777777" w:rsidR="00393EBC" w:rsidRPr="00881B46" w:rsidRDefault="00393EBC" w:rsidP="00933A75">
      <w:pPr>
        <w:rPr>
          <w:color w:val="103951"/>
          <w:lang w:val="en-GB"/>
        </w:rPr>
      </w:pPr>
    </w:p>
    <w:p w14:paraId="1F4774D6" w14:textId="77777777" w:rsidR="00B12458" w:rsidRDefault="00B12458" w:rsidP="00741307">
      <w:pPr>
        <w:rPr>
          <w:b/>
          <w:bCs/>
          <w:color w:val="103951"/>
          <w:lang w:val="en-GB"/>
        </w:rPr>
      </w:pPr>
    </w:p>
    <w:p w14:paraId="17AC9B70" w14:textId="29EDB50D" w:rsidR="00741307" w:rsidRPr="00881B46" w:rsidRDefault="00741307" w:rsidP="00741307">
      <w:pPr>
        <w:rPr>
          <w:b/>
          <w:bCs/>
          <w:color w:val="103951"/>
          <w:lang w:val="en-GB"/>
        </w:rPr>
      </w:pPr>
      <w:r w:rsidRPr="00881B46">
        <w:rPr>
          <w:b/>
          <w:bCs/>
          <w:color w:val="103951"/>
          <w:lang w:val="en-GB"/>
        </w:rPr>
        <w:t>When can you apply?</w:t>
      </w:r>
    </w:p>
    <w:p w14:paraId="3D4B1E75" w14:textId="77777777" w:rsidR="003F02D7" w:rsidRPr="00881B46" w:rsidRDefault="003F02D7" w:rsidP="003F02D7">
      <w:pPr>
        <w:rPr>
          <w:color w:val="103951"/>
          <w:lang w:val="en-GB"/>
        </w:rPr>
      </w:pPr>
      <w:r w:rsidRPr="00881B46">
        <w:rPr>
          <w:color w:val="103951"/>
          <w:lang w:val="en-GB"/>
        </w:rPr>
        <w:t>The application should be submitted at least 45 days before the conference start date.</w:t>
      </w:r>
    </w:p>
    <w:p w14:paraId="5FE492E9" w14:textId="1015C884" w:rsidR="00AB31FF" w:rsidRPr="00881B46" w:rsidRDefault="003753AC" w:rsidP="00AB31FF">
      <w:pPr>
        <w:rPr>
          <w:color w:val="103951"/>
          <w:lang w:val="en-GB"/>
        </w:rPr>
      </w:pPr>
      <w:r w:rsidRPr="00881B46">
        <w:rPr>
          <w:color w:val="103951"/>
          <w:lang w:val="en-GB"/>
        </w:rPr>
        <w:t xml:space="preserve">Applications can be submitted from </w:t>
      </w:r>
      <w:r w:rsidR="00F25D0E">
        <w:rPr>
          <w:color w:val="103951"/>
          <w:lang w:val="en-GB"/>
        </w:rPr>
        <w:t>January</w:t>
      </w:r>
      <w:r w:rsidRPr="00881B46">
        <w:rPr>
          <w:color w:val="103951"/>
          <w:lang w:val="en-GB"/>
        </w:rPr>
        <w:t xml:space="preserve"> </w:t>
      </w:r>
      <w:r w:rsidR="00C32F5F" w:rsidRPr="00881B46">
        <w:rPr>
          <w:color w:val="103951"/>
          <w:lang w:val="en-GB"/>
        </w:rPr>
        <w:t>1</w:t>
      </w:r>
      <w:r w:rsidR="00C32F5F" w:rsidRPr="00881B46">
        <w:rPr>
          <w:color w:val="103951"/>
          <w:vertAlign w:val="superscript"/>
          <w:lang w:val="en-GB"/>
        </w:rPr>
        <w:t>st</w:t>
      </w:r>
      <w:r w:rsidRPr="00881B46">
        <w:rPr>
          <w:color w:val="103951"/>
          <w:lang w:val="en-GB"/>
        </w:rPr>
        <w:t xml:space="preserve"> until </w:t>
      </w:r>
      <w:bookmarkStart w:id="1" w:name="_Hlk25613023"/>
      <w:r w:rsidR="007F2397" w:rsidRPr="00881B46">
        <w:rPr>
          <w:color w:val="103951"/>
          <w:lang w:val="en-GB"/>
        </w:rPr>
        <w:t xml:space="preserve">August </w:t>
      </w:r>
      <w:r w:rsidR="000F17F9" w:rsidRPr="00881B46">
        <w:rPr>
          <w:color w:val="103951"/>
          <w:lang w:val="en-GB"/>
        </w:rPr>
        <w:t>1</w:t>
      </w:r>
      <w:bookmarkEnd w:id="1"/>
      <w:r w:rsidR="000F17F9" w:rsidRPr="00881B46">
        <w:rPr>
          <w:color w:val="103951"/>
          <w:vertAlign w:val="superscript"/>
          <w:lang w:val="en-GB"/>
        </w:rPr>
        <w:t>st</w:t>
      </w:r>
      <w:proofErr w:type="gramStart"/>
      <w:r w:rsidRPr="00881B46">
        <w:rPr>
          <w:color w:val="103951"/>
          <w:lang w:val="en-GB"/>
        </w:rPr>
        <w:t xml:space="preserve"> 202</w:t>
      </w:r>
      <w:r w:rsidR="00596C14">
        <w:rPr>
          <w:color w:val="103951"/>
          <w:lang w:val="en-GB"/>
        </w:rPr>
        <w:t>3</w:t>
      </w:r>
      <w:proofErr w:type="gramEnd"/>
      <w:r w:rsidRPr="00881B46">
        <w:rPr>
          <w:color w:val="103951"/>
          <w:lang w:val="en-GB"/>
        </w:rPr>
        <w:t xml:space="preserve"> (open call), f</w:t>
      </w:r>
      <w:r w:rsidR="00AB31FF" w:rsidRPr="00881B46">
        <w:rPr>
          <w:color w:val="103951"/>
          <w:lang w:val="en-GB"/>
        </w:rPr>
        <w:t xml:space="preserve">or conferences occurring no later than </w:t>
      </w:r>
      <w:r w:rsidR="001756C3" w:rsidRPr="00881B46">
        <w:rPr>
          <w:color w:val="103951"/>
          <w:lang w:val="en-GB"/>
        </w:rPr>
        <w:t>September</w:t>
      </w:r>
      <w:r w:rsidR="00AB31FF" w:rsidRPr="00881B46">
        <w:rPr>
          <w:color w:val="103951"/>
          <w:lang w:val="en-GB"/>
        </w:rPr>
        <w:t xml:space="preserve"> </w:t>
      </w:r>
      <w:r w:rsidRPr="00881B46">
        <w:rPr>
          <w:color w:val="103951"/>
          <w:lang w:val="en-GB"/>
        </w:rPr>
        <w:t>15</w:t>
      </w:r>
      <w:r w:rsidRPr="00881B46">
        <w:rPr>
          <w:color w:val="103951"/>
          <w:vertAlign w:val="superscript"/>
          <w:lang w:val="en-GB"/>
        </w:rPr>
        <w:t>th</w:t>
      </w:r>
      <w:r w:rsidR="00AB31FF" w:rsidRPr="00881B46">
        <w:rPr>
          <w:color w:val="103951"/>
          <w:lang w:val="en-GB"/>
        </w:rPr>
        <w:t>, 202</w:t>
      </w:r>
      <w:r w:rsidR="00596C14">
        <w:rPr>
          <w:color w:val="103951"/>
          <w:lang w:val="en-GB"/>
        </w:rPr>
        <w:t>3</w:t>
      </w:r>
      <w:r w:rsidR="00AB31FF" w:rsidRPr="00881B46">
        <w:rPr>
          <w:color w:val="103951"/>
          <w:lang w:val="en-GB"/>
        </w:rPr>
        <w:t xml:space="preserve">. All ITC CG activities must occur in their entirety until </w:t>
      </w:r>
      <w:r w:rsidR="001756C3" w:rsidRPr="00881B46">
        <w:rPr>
          <w:color w:val="103951"/>
          <w:lang w:val="en-GB"/>
        </w:rPr>
        <w:t>October</w:t>
      </w:r>
      <w:r w:rsidR="00F51A59" w:rsidRPr="00881B46">
        <w:rPr>
          <w:color w:val="103951"/>
          <w:lang w:val="en-GB"/>
        </w:rPr>
        <w:t xml:space="preserve"> </w:t>
      </w:r>
      <w:r w:rsidR="001756C3" w:rsidRPr="00881B46">
        <w:rPr>
          <w:color w:val="103951"/>
          <w:lang w:val="en-GB"/>
        </w:rPr>
        <w:t>31</w:t>
      </w:r>
      <w:r w:rsidR="001756C3" w:rsidRPr="00881B46">
        <w:rPr>
          <w:color w:val="103951"/>
          <w:vertAlign w:val="superscript"/>
          <w:lang w:val="en-GB"/>
        </w:rPr>
        <w:t>st</w:t>
      </w:r>
      <w:proofErr w:type="gramStart"/>
      <w:r w:rsidR="001756C3" w:rsidRPr="00881B46">
        <w:rPr>
          <w:color w:val="103951"/>
          <w:lang w:val="en-GB"/>
        </w:rPr>
        <w:t xml:space="preserve"> </w:t>
      </w:r>
      <w:r w:rsidR="00F51A59" w:rsidRPr="00881B46">
        <w:rPr>
          <w:color w:val="103951"/>
          <w:lang w:val="en-GB"/>
        </w:rPr>
        <w:t>202</w:t>
      </w:r>
      <w:r w:rsidR="00596C14">
        <w:rPr>
          <w:color w:val="103951"/>
          <w:lang w:val="en-GB"/>
        </w:rPr>
        <w:t>3</w:t>
      </w:r>
      <w:proofErr w:type="gramEnd"/>
      <w:r w:rsidR="00AB31FF" w:rsidRPr="00881B46">
        <w:rPr>
          <w:color w:val="103951"/>
          <w:lang w:val="en-GB"/>
        </w:rPr>
        <w:t>.</w:t>
      </w:r>
    </w:p>
    <w:p w14:paraId="0F2B96ED" w14:textId="63C901F1" w:rsidR="00741307" w:rsidRPr="00881B46" w:rsidRDefault="00741307" w:rsidP="00741307">
      <w:pPr>
        <w:rPr>
          <w:color w:val="103951"/>
          <w:lang w:val="en-GB"/>
        </w:rPr>
      </w:pPr>
      <w:r w:rsidRPr="00881B46">
        <w:rPr>
          <w:b/>
          <w:bCs/>
          <w:color w:val="103951"/>
          <w:lang w:val="en-GB"/>
        </w:rPr>
        <w:t>How can you apply?</w:t>
      </w:r>
    </w:p>
    <w:p w14:paraId="315C5F55" w14:textId="43A5F487" w:rsidR="008A7333" w:rsidRPr="00881B46" w:rsidRDefault="008A7333" w:rsidP="00741307">
      <w:pPr>
        <w:rPr>
          <w:color w:val="103951"/>
          <w:lang w:val="en-GB"/>
        </w:rPr>
      </w:pPr>
      <w:r w:rsidRPr="00881B46">
        <w:rPr>
          <w:color w:val="103951"/>
          <w:lang w:val="en-GB"/>
        </w:rPr>
        <w:t>Applicants need to have their e-COST profile at </w:t>
      </w:r>
      <w:hyperlink r:id="rId8" w:tgtFrame="_blank" w:history="1">
        <w:r w:rsidRPr="00881B46">
          <w:rPr>
            <w:rStyle w:val="Hyperlink"/>
            <w:color w:val="103951"/>
            <w:lang w:val="en-GB"/>
          </w:rPr>
          <w:t>https://e-services.cost.eu/</w:t>
        </w:r>
      </w:hyperlink>
      <w:r w:rsidRPr="00881B46">
        <w:rPr>
          <w:color w:val="103951"/>
          <w:lang w:val="en-GB"/>
        </w:rPr>
        <w:t xml:space="preserve"> and submit their application </w:t>
      </w:r>
      <w:r w:rsidR="009569EA" w:rsidRPr="00881B46">
        <w:rPr>
          <w:color w:val="103951"/>
          <w:lang w:val="en-GB"/>
        </w:rPr>
        <w:t>via</w:t>
      </w:r>
      <w:r w:rsidRPr="00881B46">
        <w:rPr>
          <w:color w:val="103951"/>
          <w:lang w:val="en-GB"/>
        </w:rPr>
        <w:t xml:space="preserve"> the „Create Conference Grant </w:t>
      </w:r>
      <w:proofErr w:type="gramStart"/>
      <w:r w:rsidRPr="00881B46">
        <w:rPr>
          <w:color w:val="103951"/>
          <w:lang w:val="en-GB"/>
        </w:rPr>
        <w:t xml:space="preserve">Request“ </w:t>
      </w:r>
      <w:r w:rsidR="008C43AA" w:rsidRPr="00881B46">
        <w:rPr>
          <w:color w:val="103951"/>
          <w:lang w:val="en-GB"/>
        </w:rPr>
        <w:t>[</w:t>
      </w:r>
      <w:proofErr w:type="gramEnd"/>
      <w:r w:rsidR="008C43AA" w:rsidRPr="00881B46">
        <w:rPr>
          <w:color w:val="103951"/>
          <w:lang w:val="en-GB"/>
        </w:rPr>
        <w:t>link]</w:t>
      </w:r>
      <w:r w:rsidRPr="00881B46">
        <w:rPr>
          <w:color w:val="103951"/>
          <w:lang w:val="en-GB"/>
        </w:rPr>
        <w:t>.</w:t>
      </w:r>
    </w:p>
    <w:p w14:paraId="01E661FC" w14:textId="0E7C01EF" w:rsidR="003A7B10" w:rsidRPr="00881B46" w:rsidRDefault="003A7B10" w:rsidP="003A7B10">
      <w:pPr>
        <w:rPr>
          <w:color w:val="103951"/>
          <w:lang w:val="en-GB"/>
        </w:rPr>
      </w:pPr>
      <w:r w:rsidRPr="00881B46">
        <w:rPr>
          <w:color w:val="103951"/>
          <w:lang w:val="en-GB"/>
        </w:rPr>
        <w:t>The list of supporting documents to be submitted for the evaluation are:</w:t>
      </w:r>
    </w:p>
    <w:p w14:paraId="5AB1F569" w14:textId="23125B27" w:rsidR="0074528C" w:rsidRPr="00881B46" w:rsidRDefault="003A7B10" w:rsidP="003A7B10">
      <w:pPr>
        <w:pStyle w:val="ListParagraph"/>
        <w:numPr>
          <w:ilvl w:val="0"/>
          <w:numId w:val="5"/>
        </w:numPr>
        <w:rPr>
          <w:color w:val="103951"/>
          <w:lang w:val="en-GB"/>
        </w:rPr>
      </w:pPr>
      <w:r w:rsidRPr="00881B46">
        <w:rPr>
          <w:color w:val="103951"/>
          <w:lang w:val="en-GB"/>
        </w:rPr>
        <w:t>the submitted ITC</w:t>
      </w:r>
      <w:r w:rsidR="009918B0" w:rsidRPr="00881B46">
        <w:rPr>
          <w:color w:val="103951"/>
          <w:lang w:val="en-GB"/>
        </w:rPr>
        <w:t xml:space="preserve"> CG</w:t>
      </w:r>
      <w:r w:rsidRPr="00881B46">
        <w:rPr>
          <w:color w:val="103951"/>
          <w:lang w:val="en-GB"/>
        </w:rPr>
        <w:t xml:space="preserve"> application </w:t>
      </w:r>
      <w:proofErr w:type="gramStart"/>
      <w:r w:rsidRPr="00881B46">
        <w:rPr>
          <w:color w:val="103951"/>
          <w:lang w:val="en-GB"/>
        </w:rPr>
        <w:t>form</w:t>
      </w:r>
      <w:r w:rsidR="009918B0" w:rsidRPr="00881B46">
        <w:rPr>
          <w:color w:val="103951"/>
          <w:lang w:val="en-GB"/>
        </w:rPr>
        <w:t>;</w:t>
      </w:r>
      <w:proofErr w:type="gramEnd"/>
    </w:p>
    <w:p w14:paraId="52F41E71" w14:textId="11F29EB6" w:rsidR="009918B0" w:rsidRPr="00881B46" w:rsidRDefault="009918B0" w:rsidP="009918B0">
      <w:pPr>
        <w:pStyle w:val="ListParagraph"/>
        <w:numPr>
          <w:ilvl w:val="0"/>
          <w:numId w:val="5"/>
        </w:numPr>
        <w:rPr>
          <w:color w:val="103951"/>
          <w:lang w:val="en-GB"/>
        </w:rPr>
      </w:pPr>
      <w:r w:rsidRPr="00881B46">
        <w:rPr>
          <w:color w:val="103951"/>
          <w:lang w:val="en-GB"/>
        </w:rPr>
        <w:t xml:space="preserve">a full </w:t>
      </w:r>
      <w:r w:rsidRPr="00881B46">
        <w:rPr>
          <w:i/>
          <w:iCs/>
          <w:color w:val="103951"/>
          <w:lang w:val="en-GB"/>
        </w:rPr>
        <w:t>CV</w:t>
      </w:r>
      <w:r w:rsidRPr="00881B46">
        <w:rPr>
          <w:color w:val="103951"/>
          <w:lang w:val="en-GB"/>
        </w:rPr>
        <w:t xml:space="preserve"> (including a list of academic publications – if applicable</w:t>
      </w:r>
      <w:proofErr w:type="gramStart"/>
      <w:r w:rsidRPr="00881B46">
        <w:rPr>
          <w:color w:val="103951"/>
          <w:lang w:val="en-GB"/>
        </w:rPr>
        <w:t>);</w:t>
      </w:r>
      <w:proofErr w:type="gramEnd"/>
    </w:p>
    <w:p w14:paraId="6BEB2318" w14:textId="3948EB75" w:rsidR="003A7B10" w:rsidRPr="00881B46" w:rsidRDefault="003A7B10" w:rsidP="003A7B10">
      <w:pPr>
        <w:pStyle w:val="ListParagraph"/>
        <w:numPr>
          <w:ilvl w:val="0"/>
          <w:numId w:val="5"/>
        </w:numPr>
        <w:rPr>
          <w:color w:val="103951"/>
          <w:lang w:val="en-GB"/>
        </w:rPr>
      </w:pPr>
      <w:r w:rsidRPr="00881B46">
        <w:rPr>
          <w:color w:val="103951"/>
          <w:lang w:val="en-GB"/>
        </w:rPr>
        <w:t xml:space="preserve">a short description of involvement in the COST </w:t>
      </w:r>
      <w:proofErr w:type="gramStart"/>
      <w:r w:rsidRPr="00881B46">
        <w:rPr>
          <w:color w:val="103951"/>
          <w:lang w:val="en-GB"/>
        </w:rPr>
        <w:t>Action;</w:t>
      </w:r>
      <w:proofErr w:type="gramEnd"/>
    </w:p>
    <w:p w14:paraId="36AE40C9" w14:textId="23BF5734" w:rsidR="003A7B10" w:rsidRPr="00881B46" w:rsidRDefault="003A7B10" w:rsidP="003A7B10">
      <w:pPr>
        <w:pStyle w:val="ListParagraph"/>
        <w:numPr>
          <w:ilvl w:val="0"/>
          <w:numId w:val="5"/>
        </w:numPr>
        <w:rPr>
          <w:color w:val="103951"/>
          <w:lang w:val="en-GB"/>
        </w:rPr>
      </w:pPr>
      <w:r w:rsidRPr="00881B46">
        <w:rPr>
          <w:color w:val="103951"/>
          <w:lang w:val="en-GB"/>
        </w:rPr>
        <w:t>acceptance letter/e</w:t>
      </w:r>
      <w:r w:rsidR="009918B0" w:rsidRPr="00881B46">
        <w:rPr>
          <w:color w:val="103951"/>
          <w:lang w:val="en-GB"/>
        </w:rPr>
        <w:t>-</w:t>
      </w:r>
      <w:r w:rsidRPr="00881B46">
        <w:rPr>
          <w:color w:val="103951"/>
          <w:lang w:val="en-GB"/>
        </w:rPr>
        <w:t>mail confirmation from the conference organisers (confirming either your speaking slot or your poster presentation</w:t>
      </w:r>
      <w:proofErr w:type="gramStart"/>
      <w:r w:rsidRPr="00881B46">
        <w:rPr>
          <w:color w:val="103951"/>
          <w:lang w:val="en-GB"/>
        </w:rPr>
        <w:t>)</w:t>
      </w:r>
      <w:r w:rsidR="009918B0" w:rsidRPr="00881B46">
        <w:rPr>
          <w:color w:val="103951"/>
          <w:lang w:val="en-GB"/>
        </w:rPr>
        <w:t>;</w:t>
      </w:r>
      <w:proofErr w:type="gramEnd"/>
    </w:p>
    <w:p w14:paraId="55F83C9B" w14:textId="3C437F77" w:rsidR="003A7B10" w:rsidRPr="00881B46" w:rsidRDefault="003A7B10" w:rsidP="003A7B10">
      <w:pPr>
        <w:pStyle w:val="ListParagraph"/>
        <w:numPr>
          <w:ilvl w:val="0"/>
          <w:numId w:val="5"/>
        </w:numPr>
        <w:rPr>
          <w:color w:val="103951"/>
          <w:lang w:val="en-GB"/>
        </w:rPr>
      </w:pPr>
      <w:r w:rsidRPr="00881B46">
        <w:rPr>
          <w:color w:val="103951"/>
          <w:lang w:val="en-GB"/>
        </w:rPr>
        <w:t>a copy of the abstract or poster submitted to the conference</w:t>
      </w:r>
      <w:r w:rsidR="009918B0" w:rsidRPr="00881B46">
        <w:rPr>
          <w:color w:val="103951"/>
          <w:lang w:val="en-GB"/>
        </w:rPr>
        <w:t>.</w:t>
      </w:r>
    </w:p>
    <w:p w14:paraId="29ABC5FA" w14:textId="1ABF008A" w:rsidR="00741307" w:rsidRPr="00881B46" w:rsidRDefault="00741307" w:rsidP="00741307">
      <w:pPr>
        <w:rPr>
          <w:color w:val="103951"/>
          <w:lang w:val="en-GB"/>
        </w:rPr>
      </w:pPr>
      <w:bookmarkStart w:id="2" w:name="_Hlk25492342"/>
      <w:r w:rsidRPr="00881B46">
        <w:rPr>
          <w:color w:val="103951"/>
          <w:lang w:val="en-GB"/>
        </w:rPr>
        <w:t xml:space="preserve">If </w:t>
      </w:r>
      <w:r w:rsidR="0074528C" w:rsidRPr="00881B46">
        <w:rPr>
          <w:color w:val="103951"/>
          <w:lang w:val="en-GB"/>
        </w:rPr>
        <w:t xml:space="preserve">the </w:t>
      </w:r>
      <w:r w:rsidR="00BF2ABD" w:rsidRPr="00881B46">
        <w:rPr>
          <w:color w:val="103951"/>
          <w:lang w:val="en-GB"/>
        </w:rPr>
        <w:t>application</w:t>
      </w:r>
      <w:r w:rsidR="0074528C" w:rsidRPr="00881B46">
        <w:rPr>
          <w:color w:val="103951"/>
          <w:lang w:val="en-GB"/>
        </w:rPr>
        <w:t xml:space="preserve"> is </w:t>
      </w:r>
      <w:r w:rsidR="009B6F1F" w:rsidRPr="00881B46">
        <w:rPr>
          <w:color w:val="103951"/>
          <w:lang w:val="en-GB"/>
        </w:rPr>
        <w:t>pre-</w:t>
      </w:r>
      <w:r w:rsidRPr="00881B46">
        <w:rPr>
          <w:color w:val="103951"/>
          <w:lang w:val="en-GB"/>
        </w:rPr>
        <w:t>approved</w:t>
      </w:r>
      <w:r w:rsidR="005D55CD" w:rsidRPr="00881B46">
        <w:rPr>
          <w:color w:val="103951"/>
          <w:lang w:val="en-GB"/>
        </w:rPr>
        <w:t xml:space="preserve"> by </w:t>
      </w:r>
      <w:bookmarkStart w:id="3" w:name="_Hlk23754930"/>
      <w:r w:rsidR="005D55CD" w:rsidRPr="00881B46">
        <w:rPr>
          <w:color w:val="103951"/>
          <w:lang w:val="en-GB"/>
        </w:rPr>
        <w:t>the ITC C</w:t>
      </w:r>
      <w:r w:rsidR="0074528C" w:rsidRPr="00881B46">
        <w:rPr>
          <w:color w:val="103951"/>
          <w:lang w:val="en-GB"/>
        </w:rPr>
        <w:t>onference Grants</w:t>
      </w:r>
      <w:r w:rsidR="005D55CD" w:rsidRPr="00881B46">
        <w:rPr>
          <w:color w:val="103951"/>
          <w:lang w:val="en-GB"/>
        </w:rPr>
        <w:t xml:space="preserve"> </w:t>
      </w:r>
      <w:bookmarkEnd w:id="3"/>
      <w:r w:rsidR="00B6248B" w:rsidRPr="00881B46">
        <w:rPr>
          <w:color w:val="103951"/>
          <w:lang w:val="en-GB"/>
        </w:rPr>
        <w:t xml:space="preserve">Committee, the </w:t>
      </w:r>
      <w:r w:rsidR="007A6D52" w:rsidRPr="00881B46">
        <w:rPr>
          <w:color w:val="103951"/>
          <w:lang w:val="en-GB"/>
        </w:rPr>
        <w:t>Coordinator</w:t>
      </w:r>
      <w:r w:rsidR="00B6248B" w:rsidRPr="00881B46">
        <w:rPr>
          <w:color w:val="103951"/>
          <w:lang w:val="en-GB"/>
        </w:rPr>
        <w:t xml:space="preserve"> </w:t>
      </w:r>
      <w:r w:rsidR="004A282E" w:rsidRPr="00881B46">
        <w:rPr>
          <w:color w:val="103951"/>
          <w:lang w:val="en-GB"/>
        </w:rPr>
        <w:t xml:space="preserve">will </w:t>
      </w:r>
      <w:r w:rsidRPr="00881B46">
        <w:rPr>
          <w:color w:val="103951"/>
          <w:lang w:val="en-GB"/>
        </w:rPr>
        <w:t>notify the Grant Holder, who will send the Grant Letter to the applicant</w:t>
      </w:r>
      <w:r w:rsidR="00DF13EA" w:rsidRPr="00881B46">
        <w:rPr>
          <w:color w:val="103951"/>
          <w:lang w:val="en-GB"/>
        </w:rPr>
        <w:t>.</w:t>
      </w:r>
    </w:p>
    <w:bookmarkEnd w:id="2"/>
    <w:p w14:paraId="4BCDE6A3" w14:textId="1640BED0" w:rsidR="00BE0475" w:rsidRPr="00881B46" w:rsidRDefault="00741307" w:rsidP="00330033">
      <w:pPr>
        <w:rPr>
          <w:color w:val="103951"/>
          <w:lang w:val="en-GB"/>
        </w:rPr>
      </w:pPr>
      <w:r w:rsidRPr="00881B46">
        <w:rPr>
          <w:color w:val="103951"/>
          <w:lang w:val="en-GB"/>
        </w:rPr>
        <w:t xml:space="preserve">After the Conference, </w:t>
      </w:r>
      <w:r w:rsidR="003A383F" w:rsidRPr="00881B46">
        <w:rPr>
          <w:color w:val="103951"/>
          <w:lang w:val="en-GB"/>
        </w:rPr>
        <w:t xml:space="preserve">within 30 days, </w:t>
      </w:r>
      <w:r w:rsidRPr="00881B46">
        <w:rPr>
          <w:color w:val="103951"/>
          <w:lang w:val="en-GB"/>
        </w:rPr>
        <w:t xml:space="preserve">the </w:t>
      </w:r>
      <w:r w:rsidR="00BF2ABD" w:rsidRPr="00881B46">
        <w:rPr>
          <w:color w:val="103951"/>
          <w:lang w:val="en-GB"/>
        </w:rPr>
        <w:t>applicant</w:t>
      </w:r>
      <w:r w:rsidRPr="00881B46">
        <w:rPr>
          <w:color w:val="103951"/>
          <w:lang w:val="en-GB"/>
        </w:rPr>
        <w:t xml:space="preserve"> submits </w:t>
      </w:r>
      <w:r w:rsidR="004D642B" w:rsidRPr="00881B46">
        <w:rPr>
          <w:color w:val="103951"/>
          <w:lang w:val="en-GB"/>
        </w:rPr>
        <w:t xml:space="preserve">either a scientific report or a certificate of attendance to the ITC Conference Grant Manager of the Action and the Action’s Grant Holder. </w:t>
      </w:r>
      <w:r w:rsidR="00330033" w:rsidRPr="00881B46">
        <w:rPr>
          <w:color w:val="103951"/>
          <w:lang w:val="en-GB"/>
        </w:rPr>
        <w:t>The report should contain</w:t>
      </w:r>
      <w:r w:rsidR="00BE0475" w:rsidRPr="00881B46">
        <w:rPr>
          <w:color w:val="103951"/>
          <w:lang w:val="en-GB"/>
        </w:rPr>
        <w:t>:</w:t>
      </w:r>
    </w:p>
    <w:p w14:paraId="607485E9" w14:textId="70E7B997" w:rsidR="00BE0475" w:rsidRPr="00881B46" w:rsidRDefault="007A5529" w:rsidP="00BE0475">
      <w:pPr>
        <w:pStyle w:val="ListParagraph"/>
        <w:numPr>
          <w:ilvl w:val="0"/>
          <w:numId w:val="8"/>
        </w:numPr>
        <w:rPr>
          <w:color w:val="103951"/>
          <w:lang w:val="en-GB"/>
        </w:rPr>
      </w:pPr>
      <w:r w:rsidRPr="00881B46">
        <w:rPr>
          <w:color w:val="103951"/>
          <w:lang w:val="en-GB"/>
        </w:rPr>
        <w:t xml:space="preserve">activities during your attendance at the </w:t>
      </w:r>
      <w:proofErr w:type="gramStart"/>
      <w:r w:rsidRPr="00881B46">
        <w:rPr>
          <w:color w:val="103951"/>
          <w:lang w:val="en-GB"/>
        </w:rPr>
        <w:t>conference</w:t>
      </w:r>
      <w:r w:rsidR="00BE0475" w:rsidRPr="00881B46">
        <w:rPr>
          <w:color w:val="103951"/>
          <w:lang w:val="en-GB"/>
        </w:rPr>
        <w:t>;</w:t>
      </w:r>
      <w:proofErr w:type="gramEnd"/>
    </w:p>
    <w:p w14:paraId="098CA681" w14:textId="216F6212" w:rsidR="007A5529" w:rsidRPr="00881B46" w:rsidRDefault="007A5529" w:rsidP="00BE0475">
      <w:pPr>
        <w:pStyle w:val="ListParagraph"/>
        <w:numPr>
          <w:ilvl w:val="0"/>
          <w:numId w:val="8"/>
        </w:numPr>
        <w:rPr>
          <w:color w:val="103951"/>
          <w:lang w:val="en-GB"/>
        </w:rPr>
      </w:pPr>
      <w:r w:rsidRPr="00881B46">
        <w:rPr>
          <w:color w:val="103951"/>
          <w:lang w:val="en-GB"/>
        </w:rPr>
        <w:t>impact on your research and future collaborations (if applicable).</w:t>
      </w:r>
    </w:p>
    <w:p w14:paraId="349F6FF5" w14:textId="5A86FF86" w:rsidR="00330033" w:rsidRPr="00881B46" w:rsidRDefault="00BE0475" w:rsidP="00330033">
      <w:pPr>
        <w:rPr>
          <w:color w:val="103951"/>
          <w:lang w:val="en-GB"/>
        </w:rPr>
      </w:pPr>
      <w:r w:rsidRPr="00881B46">
        <w:rPr>
          <w:color w:val="103951"/>
          <w:lang w:val="en-GB"/>
        </w:rPr>
        <w:t>Please note that the f</w:t>
      </w:r>
      <w:r w:rsidR="00330033" w:rsidRPr="00881B46">
        <w:rPr>
          <w:color w:val="103951"/>
          <w:lang w:val="en-GB"/>
        </w:rPr>
        <w:t xml:space="preserve">ailure to submit the scientific report </w:t>
      </w:r>
      <w:r w:rsidR="004D642B" w:rsidRPr="00881B46">
        <w:rPr>
          <w:color w:val="103951"/>
          <w:lang w:val="en-GB"/>
        </w:rPr>
        <w:t xml:space="preserve">or the certificate of attendance </w:t>
      </w:r>
      <w:r w:rsidR="00330033" w:rsidRPr="00881B46">
        <w:rPr>
          <w:color w:val="103951"/>
          <w:lang w:val="en-GB"/>
        </w:rPr>
        <w:t>in time will effectively cancel the grant.</w:t>
      </w:r>
    </w:p>
    <w:p w14:paraId="73299547" w14:textId="04EB6F57" w:rsidR="00741307" w:rsidRPr="00881B46" w:rsidRDefault="00BF2ABD" w:rsidP="00741307">
      <w:pPr>
        <w:rPr>
          <w:color w:val="103951"/>
          <w:lang w:val="en-GB"/>
        </w:rPr>
      </w:pPr>
      <w:bookmarkStart w:id="4" w:name="_Hlk25492503"/>
      <w:r w:rsidRPr="00881B46">
        <w:rPr>
          <w:color w:val="103951"/>
          <w:lang w:val="en-GB"/>
        </w:rPr>
        <w:t>If all the requirements are met by the applicant,</w:t>
      </w:r>
      <w:r w:rsidR="005D55CD" w:rsidRPr="00881B46">
        <w:rPr>
          <w:color w:val="103951"/>
          <w:lang w:val="en-GB"/>
        </w:rPr>
        <w:t xml:space="preserve"> ITC C</w:t>
      </w:r>
      <w:r w:rsidRPr="00881B46">
        <w:rPr>
          <w:color w:val="103951"/>
          <w:lang w:val="en-GB"/>
        </w:rPr>
        <w:t xml:space="preserve">onference </w:t>
      </w:r>
      <w:r w:rsidR="005D55CD" w:rsidRPr="00881B46">
        <w:rPr>
          <w:color w:val="103951"/>
          <w:lang w:val="en-GB"/>
        </w:rPr>
        <w:t>G</w:t>
      </w:r>
      <w:r w:rsidRPr="00881B46">
        <w:rPr>
          <w:color w:val="103951"/>
          <w:lang w:val="en-GB"/>
        </w:rPr>
        <w:t>rants</w:t>
      </w:r>
      <w:r w:rsidR="005D55CD" w:rsidRPr="00881B46">
        <w:rPr>
          <w:color w:val="103951"/>
          <w:lang w:val="en-GB"/>
        </w:rPr>
        <w:t xml:space="preserve"> </w:t>
      </w:r>
      <w:r w:rsidRPr="00881B46">
        <w:rPr>
          <w:color w:val="103951"/>
          <w:lang w:val="en-GB"/>
        </w:rPr>
        <w:t>Co</w:t>
      </w:r>
      <w:r w:rsidR="00AB11A5" w:rsidRPr="00881B46">
        <w:rPr>
          <w:color w:val="103951"/>
          <w:lang w:val="en-GB"/>
        </w:rPr>
        <w:t>ordinator</w:t>
      </w:r>
      <w:r w:rsidR="005D55CD" w:rsidRPr="00881B46">
        <w:rPr>
          <w:color w:val="103951"/>
          <w:lang w:val="en-GB"/>
        </w:rPr>
        <w:t xml:space="preserve"> </w:t>
      </w:r>
      <w:r w:rsidR="00AB11A5" w:rsidRPr="00881B46">
        <w:rPr>
          <w:color w:val="103951"/>
          <w:lang w:val="en-GB"/>
        </w:rPr>
        <w:t xml:space="preserve">(based on the recommendation by the Committee) </w:t>
      </w:r>
      <w:r w:rsidR="00741307" w:rsidRPr="00881B46">
        <w:rPr>
          <w:color w:val="103951"/>
          <w:lang w:val="en-GB"/>
        </w:rPr>
        <w:t xml:space="preserve">will approve the </w:t>
      </w:r>
      <w:r w:rsidR="009569EA" w:rsidRPr="00881B46">
        <w:rPr>
          <w:color w:val="103951"/>
          <w:lang w:val="en-GB"/>
        </w:rPr>
        <w:t>report</w:t>
      </w:r>
      <w:r w:rsidR="00741307" w:rsidRPr="00881B46">
        <w:rPr>
          <w:color w:val="103951"/>
          <w:lang w:val="en-GB"/>
        </w:rPr>
        <w:t>.</w:t>
      </w:r>
      <w:r w:rsidR="003A7B10" w:rsidRPr="00881B46">
        <w:rPr>
          <w:color w:val="103951"/>
          <w:lang w:val="en-GB"/>
        </w:rPr>
        <w:t xml:space="preserve"> Written approval of the submitted </w:t>
      </w:r>
      <w:r w:rsidR="003A7B10" w:rsidRPr="00881B46">
        <w:rPr>
          <w:color w:val="103951"/>
          <w:lang w:val="en-GB"/>
        </w:rPr>
        <w:lastRenderedPageBreak/>
        <w:t>scientific report must be sent to the Grant Holder for archiving purposes</w:t>
      </w:r>
      <w:r w:rsidRPr="00881B46">
        <w:rPr>
          <w:color w:val="103951"/>
          <w:lang w:val="en-GB"/>
        </w:rPr>
        <w:t xml:space="preserve"> and t</w:t>
      </w:r>
      <w:r w:rsidR="00741307" w:rsidRPr="00881B46">
        <w:rPr>
          <w:color w:val="103951"/>
          <w:lang w:val="en-GB"/>
        </w:rPr>
        <w:t xml:space="preserve">he Grant Holder executes payment to the </w:t>
      </w:r>
      <w:r w:rsidRPr="00881B46">
        <w:rPr>
          <w:color w:val="103951"/>
          <w:lang w:val="en-GB"/>
        </w:rPr>
        <w:t>successful a</w:t>
      </w:r>
      <w:r w:rsidR="00741307" w:rsidRPr="00881B46">
        <w:rPr>
          <w:color w:val="103951"/>
          <w:lang w:val="en-GB"/>
        </w:rPr>
        <w:t>pplicant.</w:t>
      </w:r>
    </w:p>
    <w:bookmarkEnd w:id="4"/>
    <w:p w14:paraId="394D55D5" w14:textId="77777777" w:rsidR="00AB11A5" w:rsidRPr="00881B46" w:rsidRDefault="00AB11A5" w:rsidP="00741307">
      <w:pPr>
        <w:rPr>
          <w:b/>
          <w:bCs/>
          <w:color w:val="103951"/>
          <w:lang w:val="en-GB"/>
        </w:rPr>
      </w:pPr>
    </w:p>
    <w:p w14:paraId="70DE1D26" w14:textId="1A6895F3" w:rsidR="0022303D" w:rsidRPr="00881B46" w:rsidRDefault="0022303D" w:rsidP="00741307">
      <w:pPr>
        <w:rPr>
          <w:b/>
          <w:bCs/>
          <w:color w:val="103951"/>
          <w:lang w:val="en-GB"/>
        </w:rPr>
      </w:pPr>
      <w:r w:rsidRPr="00881B46">
        <w:rPr>
          <w:b/>
          <w:bCs/>
          <w:color w:val="103951"/>
          <w:lang w:val="en-GB"/>
        </w:rPr>
        <w:t>EVALUATION CRITERIA</w:t>
      </w:r>
    </w:p>
    <w:p w14:paraId="1D50B2DD" w14:textId="1A92BDC3" w:rsidR="00741307" w:rsidRPr="00881B46" w:rsidRDefault="00741307" w:rsidP="00741307">
      <w:pPr>
        <w:rPr>
          <w:b/>
          <w:bCs/>
          <w:color w:val="103951"/>
          <w:lang w:val="en-GB"/>
        </w:rPr>
      </w:pPr>
      <w:r w:rsidRPr="00881B46">
        <w:rPr>
          <w:b/>
          <w:bCs/>
          <w:color w:val="103951"/>
          <w:lang w:val="en-GB"/>
        </w:rPr>
        <w:t>What are the criteria for awarding ITC Conference Grants?</w:t>
      </w:r>
    </w:p>
    <w:p w14:paraId="6764E9E3" w14:textId="265950C9" w:rsidR="00587C73" w:rsidRPr="00881B46" w:rsidRDefault="005D55CD" w:rsidP="00EF2634">
      <w:pPr>
        <w:rPr>
          <w:color w:val="103951"/>
          <w:lang w:val="en-GB"/>
        </w:rPr>
      </w:pPr>
      <w:r w:rsidRPr="00881B46">
        <w:rPr>
          <w:color w:val="103951"/>
          <w:lang w:val="en-GB"/>
        </w:rPr>
        <w:t>The selection of successful applicants is done so in consideration of the scientific scope of the proposed participation and how it will support the Action in achieving its scientific objectives</w:t>
      </w:r>
      <w:r w:rsidR="00EF2634" w:rsidRPr="00881B46">
        <w:rPr>
          <w:color w:val="103951"/>
          <w:lang w:val="en-GB"/>
        </w:rPr>
        <w:t>, outlined in the Action’s Memorandum of Understanding (MoU) [link].</w:t>
      </w:r>
    </w:p>
    <w:p w14:paraId="552874C9" w14:textId="5D57A35F" w:rsidR="00741307" w:rsidRPr="00881B46" w:rsidRDefault="00741307" w:rsidP="00741307">
      <w:pPr>
        <w:rPr>
          <w:color w:val="103951"/>
          <w:lang w:val="en-GB"/>
        </w:rPr>
      </w:pPr>
      <w:r w:rsidRPr="00881B46">
        <w:rPr>
          <w:color w:val="103951"/>
          <w:lang w:val="en-GB"/>
        </w:rPr>
        <w:t>There will be special considerations made with respect to supporting COST policies on promoting gender balance</w:t>
      </w:r>
      <w:r w:rsidR="007A6D52" w:rsidRPr="00881B46">
        <w:rPr>
          <w:color w:val="103951"/>
          <w:lang w:val="en-GB"/>
        </w:rPr>
        <w:t xml:space="preserve"> </w:t>
      </w:r>
      <w:r w:rsidRPr="00881B46">
        <w:rPr>
          <w:color w:val="103951"/>
          <w:lang w:val="en-GB"/>
        </w:rPr>
        <w:t>and broadening geographical inclusiveness.</w:t>
      </w:r>
    </w:p>
    <w:p w14:paraId="3BA927D0" w14:textId="423C3608" w:rsidR="005D55CD" w:rsidRPr="00881B46" w:rsidRDefault="00C77E5E" w:rsidP="00741307">
      <w:pPr>
        <w:rPr>
          <w:color w:val="103951"/>
          <w:lang w:val="en-GB"/>
        </w:rPr>
      </w:pPr>
      <w:r w:rsidRPr="00881B46">
        <w:rPr>
          <w:color w:val="103951"/>
          <w:lang w:val="en-GB"/>
        </w:rPr>
        <w:t xml:space="preserve">The evaluation procedure will be managed by the </w:t>
      </w:r>
      <w:r w:rsidR="004B66EB" w:rsidRPr="00881B46">
        <w:rPr>
          <w:color w:val="103951"/>
          <w:lang w:val="en-GB"/>
        </w:rPr>
        <w:t xml:space="preserve">ICT CG </w:t>
      </w:r>
      <w:r w:rsidR="00BF2ABD" w:rsidRPr="00881B46">
        <w:rPr>
          <w:color w:val="103951"/>
          <w:lang w:val="en-GB"/>
        </w:rPr>
        <w:t>Committee</w:t>
      </w:r>
      <w:r w:rsidR="004B66EB" w:rsidRPr="00881B46">
        <w:rPr>
          <w:color w:val="103951"/>
          <w:lang w:val="en-GB"/>
        </w:rPr>
        <w:t xml:space="preserve"> of COST </w:t>
      </w:r>
      <w:r w:rsidR="00EF2634" w:rsidRPr="00881B46">
        <w:rPr>
          <w:color w:val="103951"/>
          <w:lang w:val="en-GB"/>
        </w:rPr>
        <w:t>Action</w:t>
      </w:r>
      <w:r w:rsidR="004B66EB" w:rsidRPr="00881B46">
        <w:rPr>
          <w:color w:val="103951"/>
          <w:lang w:val="en-GB"/>
        </w:rPr>
        <w:t xml:space="preserve"> 18137</w:t>
      </w:r>
      <w:r w:rsidR="00783147" w:rsidRPr="00881B46">
        <w:rPr>
          <w:color w:val="103951"/>
          <w:lang w:val="en-GB"/>
        </w:rPr>
        <w:t>.</w:t>
      </w:r>
      <w:r w:rsidR="00235F30" w:rsidRPr="00881B46">
        <w:rPr>
          <w:color w:val="103951"/>
          <w:lang w:val="en-GB"/>
        </w:rPr>
        <w:t xml:space="preserve"> </w:t>
      </w:r>
      <w:r w:rsidR="00783147" w:rsidRPr="00881B46">
        <w:rPr>
          <w:color w:val="103951"/>
          <w:lang w:val="en-GB"/>
        </w:rPr>
        <w:t xml:space="preserve">The </w:t>
      </w:r>
      <w:r w:rsidR="00235F30" w:rsidRPr="00881B46">
        <w:rPr>
          <w:color w:val="103951"/>
          <w:lang w:val="en-GB"/>
        </w:rPr>
        <w:t>ITC Conference Grants Coordinator</w:t>
      </w:r>
      <w:r w:rsidR="005A1D14" w:rsidRPr="00881B46">
        <w:rPr>
          <w:color w:val="103951"/>
          <w:lang w:val="en-GB"/>
        </w:rPr>
        <w:t xml:space="preserve"> </w:t>
      </w:r>
      <w:r w:rsidR="00783147" w:rsidRPr="00881B46">
        <w:rPr>
          <w:color w:val="103951"/>
          <w:lang w:val="en-GB"/>
        </w:rPr>
        <w:t xml:space="preserve">is </w:t>
      </w:r>
      <w:r w:rsidR="00E774BB" w:rsidRPr="00881B46">
        <w:rPr>
          <w:color w:val="103951"/>
          <w:lang w:val="en-GB"/>
        </w:rPr>
        <w:t xml:space="preserve">Dr </w:t>
      </w:r>
      <w:proofErr w:type="spellStart"/>
      <w:r w:rsidR="000F17F9" w:rsidRPr="00881B46">
        <w:rPr>
          <w:color w:val="103951"/>
          <w:lang w:val="en-GB"/>
        </w:rPr>
        <w:t>Marija</w:t>
      </w:r>
      <w:proofErr w:type="spellEnd"/>
      <w:r w:rsidR="000F17F9" w:rsidRPr="00881B46">
        <w:rPr>
          <w:color w:val="103951"/>
          <w:lang w:val="en-GB"/>
        </w:rPr>
        <w:t xml:space="preserve"> </w:t>
      </w:r>
      <w:proofErr w:type="spellStart"/>
      <w:r w:rsidR="000F17F9" w:rsidRPr="00881B46">
        <w:rPr>
          <w:color w:val="103951"/>
          <w:lang w:val="en-GB"/>
        </w:rPr>
        <w:t>Milinković</w:t>
      </w:r>
      <w:proofErr w:type="spellEnd"/>
      <w:r w:rsidR="000F17F9" w:rsidRPr="00881B46">
        <w:rPr>
          <w:color w:val="103951"/>
          <w:lang w:val="en-GB"/>
        </w:rPr>
        <w:t xml:space="preserve"> </w:t>
      </w:r>
      <w:r w:rsidR="00783147" w:rsidRPr="00881B46">
        <w:rPr>
          <w:color w:val="103951"/>
          <w:lang w:val="en-GB"/>
        </w:rPr>
        <w:t>[</w:t>
      </w:r>
      <w:r w:rsidR="000F17F9" w:rsidRPr="00881B46">
        <w:rPr>
          <w:color w:val="103951"/>
          <w:lang w:val="en-GB"/>
        </w:rPr>
        <w:t>marija.milinkovic@arh.bg.ac.rs</w:t>
      </w:r>
      <w:r w:rsidR="005A1D14" w:rsidRPr="00881B46">
        <w:rPr>
          <w:color w:val="103951"/>
          <w:lang w:val="en-GB"/>
        </w:rPr>
        <w:t>].</w:t>
      </w:r>
    </w:p>
    <w:sectPr w:rsidR="005D55CD" w:rsidRPr="00881B46" w:rsidSect="00393EBC">
      <w:headerReference w:type="default" r:id="rId9"/>
      <w:footerReference w:type="default" r:id="rId10"/>
      <w:pgSz w:w="12240" w:h="15840"/>
      <w:pgMar w:top="2325"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25A8" w14:textId="77777777" w:rsidR="000B3EC6" w:rsidRDefault="000B3EC6" w:rsidP="0074528C">
      <w:pPr>
        <w:spacing w:after="0" w:line="240" w:lineRule="auto"/>
      </w:pPr>
      <w:r>
        <w:separator/>
      </w:r>
    </w:p>
  </w:endnote>
  <w:endnote w:type="continuationSeparator" w:id="0">
    <w:p w14:paraId="4662DA46" w14:textId="77777777" w:rsidR="000B3EC6" w:rsidRDefault="000B3EC6" w:rsidP="00745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840107"/>
      <w:docPartObj>
        <w:docPartGallery w:val="Page Numbers (Bottom of Page)"/>
        <w:docPartUnique/>
      </w:docPartObj>
    </w:sdtPr>
    <w:sdtEndPr>
      <w:rPr>
        <w:noProof/>
      </w:rPr>
    </w:sdtEndPr>
    <w:sdtContent>
      <w:p w14:paraId="3A5A6AFC" w14:textId="77777777" w:rsidR="004C63AA" w:rsidRDefault="0074528C">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75E7903" w14:textId="40D80591" w:rsidR="0074528C" w:rsidRDefault="00000000">
        <w:pPr>
          <w:pStyle w:val="Footer"/>
          <w:jc w:val="right"/>
        </w:pPr>
      </w:p>
    </w:sdtContent>
  </w:sdt>
  <w:p w14:paraId="4BAE779C" w14:textId="7EC5D107" w:rsidR="0074528C" w:rsidRDefault="004C63AA" w:rsidP="004C63AA">
    <w:pPr>
      <w:pStyle w:val="Footer"/>
      <w:ind w:left="-1440" w:firstLine="22"/>
    </w:pPr>
    <w:r>
      <w:rPr>
        <w:noProof/>
      </w:rPr>
      <w:drawing>
        <wp:inline distT="0" distB="0" distL="0" distR="0" wp14:anchorId="05F0FA46" wp14:editId="6584D443">
          <wp:extent cx="7828009" cy="804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045835" cy="8269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1D393" w14:textId="77777777" w:rsidR="000B3EC6" w:rsidRDefault="000B3EC6" w:rsidP="0074528C">
      <w:pPr>
        <w:spacing w:after="0" w:line="240" w:lineRule="auto"/>
      </w:pPr>
      <w:r>
        <w:separator/>
      </w:r>
    </w:p>
  </w:footnote>
  <w:footnote w:type="continuationSeparator" w:id="0">
    <w:p w14:paraId="64001F7F" w14:textId="77777777" w:rsidR="000B3EC6" w:rsidRDefault="000B3EC6" w:rsidP="00745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50DB" w14:textId="47823D37" w:rsidR="00B933B0" w:rsidRDefault="003A680A" w:rsidP="00B933B0">
    <w:pPr>
      <w:pStyle w:val="Header"/>
      <w:ind w:left="-1440"/>
    </w:pPr>
    <w:r w:rsidRPr="003A680A">
      <w:rPr>
        <w:noProof/>
      </w:rPr>
      <w:drawing>
        <wp:inline distT="0" distB="0" distL="0" distR="0" wp14:anchorId="391EC034" wp14:editId="09840921">
          <wp:extent cx="7792748" cy="2246243"/>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905930" cy="22788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2729"/>
    <w:multiLevelType w:val="multilevel"/>
    <w:tmpl w:val="EFBA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3F3505"/>
    <w:multiLevelType w:val="hybridMultilevel"/>
    <w:tmpl w:val="8E04920C"/>
    <w:lvl w:ilvl="0" w:tplc="5B4E4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D3F2B"/>
    <w:multiLevelType w:val="multilevel"/>
    <w:tmpl w:val="166E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090BC4"/>
    <w:multiLevelType w:val="multilevel"/>
    <w:tmpl w:val="FCF8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E228C"/>
    <w:multiLevelType w:val="hybridMultilevel"/>
    <w:tmpl w:val="056A1D5C"/>
    <w:lvl w:ilvl="0" w:tplc="5B4E4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D083A"/>
    <w:multiLevelType w:val="multilevel"/>
    <w:tmpl w:val="A13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DC4CFF"/>
    <w:multiLevelType w:val="hybridMultilevel"/>
    <w:tmpl w:val="3ED25138"/>
    <w:lvl w:ilvl="0" w:tplc="5B4E4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41489"/>
    <w:multiLevelType w:val="hybridMultilevel"/>
    <w:tmpl w:val="15F48AEC"/>
    <w:lvl w:ilvl="0" w:tplc="5B4E4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35F8F"/>
    <w:multiLevelType w:val="multilevel"/>
    <w:tmpl w:val="99C6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6531046">
    <w:abstractNumId w:val="3"/>
  </w:num>
  <w:num w:numId="2" w16cid:durableId="1427143762">
    <w:abstractNumId w:val="5"/>
  </w:num>
  <w:num w:numId="3" w16cid:durableId="297540540">
    <w:abstractNumId w:val="0"/>
  </w:num>
  <w:num w:numId="4" w16cid:durableId="893614944">
    <w:abstractNumId w:val="2"/>
  </w:num>
  <w:num w:numId="5" w16cid:durableId="2090882501">
    <w:abstractNumId w:val="7"/>
  </w:num>
  <w:num w:numId="6" w16cid:durableId="1723794897">
    <w:abstractNumId w:val="1"/>
  </w:num>
  <w:num w:numId="7" w16cid:durableId="1068499794">
    <w:abstractNumId w:val="4"/>
  </w:num>
  <w:num w:numId="8" w16cid:durableId="1679767022">
    <w:abstractNumId w:val="6"/>
  </w:num>
  <w:num w:numId="9" w16cid:durableId="12338564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A0"/>
    <w:rsid w:val="000531BB"/>
    <w:rsid w:val="0006300D"/>
    <w:rsid w:val="000A4633"/>
    <w:rsid w:val="000A51DD"/>
    <w:rsid w:val="000B3EC6"/>
    <w:rsid w:val="000E7018"/>
    <w:rsid w:val="000F17F9"/>
    <w:rsid w:val="000F57AA"/>
    <w:rsid w:val="00100F1B"/>
    <w:rsid w:val="00101BE3"/>
    <w:rsid w:val="0010524E"/>
    <w:rsid w:val="00115716"/>
    <w:rsid w:val="001323C9"/>
    <w:rsid w:val="00137272"/>
    <w:rsid w:val="001756C3"/>
    <w:rsid w:val="001777C9"/>
    <w:rsid w:val="00177EF8"/>
    <w:rsid w:val="00191276"/>
    <w:rsid w:val="001A49CB"/>
    <w:rsid w:val="00207531"/>
    <w:rsid w:val="00214DD5"/>
    <w:rsid w:val="0022303D"/>
    <w:rsid w:val="00224BE6"/>
    <w:rsid w:val="00235F30"/>
    <w:rsid w:val="0023670C"/>
    <w:rsid w:val="00241A58"/>
    <w:rsid w:val="00251760"/>
    <w:rsid w:val="00260CCF"/>
    <w:rsid w:val="002723E2"/>
    <w:rsid w:val="00282AFB"/>
    <w:rsid w:val="002A67EB"/>
    <w:rsid w:val="00330033"/>
    <w:rsid w:val="0033208F"/>
    <w:rsid w:val="00341D1F"/>
    <w:rsid w:val="003753AC"/>
    <w:rsid w:val="003753F2"/>
    <w:rsid w:val="0037787D"/>
    <w:rsid w:val="00393EBC"/>
    <w:rsid w:val="003A2CF2"/>
    <w:rsid w:val="003A383F"/>
    <w:rsid w:val="003A680A"/>
    <w:rsid w:val="003A7B10"/>
    <w:rsid w:val="003C41C9"/>
    <w:rsid w:val="003E0102"/>
    <w:rsid w:val="003F02D7"/>
    <w:rsid w:val="00427741"/>
    <w:rsid w:val="0046307A"/>
    <w:rsid w:val="004A282E"/>
    <w:rsid w:val="004A298C"/>
    <w:rsid w:val="004B4F4A"/>
    <w:rsid w:val="004B5151"/>
    <w:rsid w:val="004B66EB"/>
    <w:rsid w:val="004C63AA"/>
    <w:rsid w:val="004C71D7"/>
    <w:rsid w:val="004D642B"/>
    <w:rsid w:val="004E5455"/>
    <w:rsid w:val="004E6A99"/>
    <w:rsid w:val="004F06CC"/>
    <w:rsid w:val="004F2C74"/>
    <w:rsid w:val="00541864"/>
    <w:rsid w:val="00552A9A"/>
    <w:rsid w:val="0055574F"/>
    <w:rsid w:val="005614CB"/>
    <w:rsid w:val="00581C03"/>
    <w:rsid w:val="00586B9C"/>
    <w:rsid w:val="00587C73"/>
    <w:rsid w:val="00596C14"/>
    <w:rsid w:val="005A1D14"/>
    <w:rsid w:val="005B680C"/>
    <w:rsid w:val="005D0E5B"/>
    <w:rsid w:val="005D55CD"/>
    <w:rsid w:val="005E732D"/>
    <w:rsid w:val="005F78FB"/>
    <w:rsid w:val="00603A98"/>
    <w:rsid w:val="006049F0"/>
    <w:rsid w:val="00620CFE"/>
    <w:rsid w:val="00621CEB"/>
    <w:rsid w:val="00625265"/>
    <w:rsid w:val="006B2E18"/>
    <w:rsid w:val="006C29FC"/>
    <w:rsid w:val="006F0488"/>
    <w:rsid w:val="007203C4"/>
    <w:rsid w:val="00720D87"/>
    <w:rsid w:val="00741307"/>
    <w:rsid w:val="0074528C"/>
    <w:rsid w:val="00783147"/>
    <w:rsid w:val="007A5529"/>
    <w:rsid w:val="007A6D52"/>
    <w:rsid w:val="007B1D51"/>
    <w:rsid w:val="007C4EAB"/>
    <w:rsid w:val="007E17E5"/>
    <w:rsid w:val="007F2397"/>
    <w:rsid w:val="00801C80"/>
    <w:rsid w:val="00806D92"/>
    <w:rsid w:val="008117C2"/>
    <w:rsid w:val="00823A59"/>
    <w:rsid w:val="008411B8"/>
    <w:rsid w:val="0084636E"/>
    <w:rsid w:val="00855910"/>
    <w:rsid w:val="008816C8"/>
    <w:rsid w:val="00881B46"/>
    <w:rsid w:val="00884316"/>
    <w:rsid w:val="008A0D7C"/>
    <w:rsid w:val="008A7333"/>
    <w:rsid w:val="008C43AA"/>
    <w:rsid w:val="008E173F"/>
    <w:rsid w:val="008F219B"/>
    <w:rsid w:val="00901BFF"/>
    <w:rsid w:val="00905540"/>
    <w:rsid w:val="00916B07"/>
    <w:rsid w:val="00917CCC"/>
    <w:rsid w:val="00922532"/>
    <w:rsid w:val="009332A8"/>
    <w:rsid w:val="00933A75"/>
    <w:rsid w:val="009569EA"/>
    <w:rsid w:val="0098164E"/>
    <w:rsid w:val="009918B0"/>
    <w:rsid w:val="009B6F1F"/>
    <w:rsid w:val="00A165B7"/>
    <w:rsid w:val="00A31EC3"/>
    <w:rsid w:val="00A52B5A"/>
    <w:rsid w:val="00A76844"/>
    <w:rsid w:val="00AB11A5"/>
    <w:rsid w:val="00AB31FF"/>
    <w:rsid w:val="00B115A3"/>
    <w:rsid w:val="00B12458"/>
    <w:rsid w:val="00B53A2D"/>
    <w:rsid w:val="00B553B4"/>
    <w:rsid w:val="00B615D4"/>
    <w:rsid w:val="00B6248B"/>
    <w:rsid w:val="00B7559C"/>
    <w:rsid w:val="00B816D6"/>
    <w:rsid w:val="00B90016"/>
    <w:rsid w:val="00B933B0"/>
    <w:rsid w:val="00BA2AA7"/>
    <w:rsid w:val="00BA405C"/>
    <w:rsid w:val="00BD25D9"/>
    <w:rsid w:val="00BE0475"/>
    <w:rsid w:val="00BE65A0"/>
    <w:rsid w:val="00BF2ABD"/>
    <w:rsid w:val="00C16B2D"/>
    <w:rsid w:val="00C175C9"/>
    <w:rsid w:val="00C32F5F"/>
    <w:rsid w:val="00C76CEA"/>
    <w:rsid w:val="00C77E5E"/>
    <w:rsid w:val="00C97C96"/>
    <w:rsid w:val="00CA166F"/>
    <w:rsid w:val="00CA2D43"/>
    <w:rsid w:val="00CB4078"/>
    <w:rsid w:val="00CF4DC4"/>
    <w:rsid w:val="00D1684E"/>
    <w:rsid w:val="00D2713F"/>
    <w:rsid w:val="00D45C23"/>
    <w:rsid w:val="00D66032"/>
    <w:rsid w:val="00DD6355"/>
    <w:rsid w:val="00DF13EA"/>
    <w:rsid w:val="00E073ED"/>
    <w:rsid w:val="00E30602"/>
    <w:rsid w:val="00E3587B"/>
    <w:rsid w:val="00E47337"/>
    <w:rsid w:val="00E52255"/>
    <w:rsid w:val="00E62539"/>
    <w:rsid w:val="00E774BB"/>
    <w:rsid w:val="00E77BD5"/>
    <w:rsid w:val="00E77D63"/>
    <w:rsid w:val="00EF2634"/>
    <w:rsid w:val="00F0474A"/>
    <w:rsid w:val="00F25D0E"/>
    <w:rsid w:val="00F51A59"/>
    <w:rsid w:val="00F5434F"/>
    <w:rsid w:val="00F640D2"/>
    <w:rsid w:val="00FA5649"/>
    <w:rsid w:val="00FC3519"/>
    <w:rsid w:val="00FD0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3085"/>
  <w15:chartTrackingRefBased/>
  <w15:docId w15:val="{92707059-2165-4EEB-89D6-26A11A71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816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816C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2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5265"/>
    <w:rPr>
      <w:color w:val="0000FF"/>
      <w:u w:val="single"/>
    </w:rPr>
  </w:style>
  <w:style w:type="character" w:styleId="UnresolvedMention">
    <w:name w:val="Unresolved Mention"/>
    <w:basedOn w:val="DefaultParagraphFont"/>
    <w:uiPriority w:val="99"/>
    <w:semiHidden/>
    <w:unhideWhenUsed/>
    <w:rsid w:val="00DF13EA"/>
    <w:rPr>
      <w:color w:val="605E5C"/>
      <w:shd w:val="clear" w:color="auto" w:fill="E1DFDD"/>
    </w:rPr>
  </w:style>
  <w:style w:type="character" w:customStyle="1" w:styleId="Heading3Char">
    <w:name w:val="Heading 3 Char"/>
    <w:basedOn w:val="DefaultParagraphFont"/>
    <w:link w:val="Heading3"/>
    <w:uiPriority w:val="9"/>
    <w:rsid w:val="008816C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8816C8"/>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3A7B10"/>
    <w:pPr>
      <w:ind w:left="720"/>
      <w:contextualSpacing/>
    </w:pPr>
  </w:style>
  <w:style w:type="paragraph" w:styleId="Header">
    <w:name w:val="header"/>
    <w:basedOn w:val="Normal"/>
    <w:link w:val="HeaderChar"/>
    <w:uiPriority w:val="99"/>
    <w:unhideWhenUsed/>
    <w:rsid w:val="00745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28C"/>
  </w:style>
  <w:style w:type="paragraph" w:styleId="Footer">
    <w:name w:val="footer"/>
    <w:basedOn w:val="Normal"/>
    <w:link w:val="FooterChar"/>
    <w:uiPriority w:val="99"/>
    <w:unhideWhenUsed/>
    <w:rsid w:val="00745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28C"/>
  </w:style>
  <w:style w:type="paragraph" w:styleId="BalloonText">
    <w:name w:val="Balloon Text"/>
    <w:basedOn w:val="Normal"/>
    <w:link w:val="BalloonTextChar"/>
    <w:uiPriority w:val="99"/>
    <w:semiHidden/>
    <w:unhideWhenUsed/>
    <w:rsid w:val="004E6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A99"/>
    <w:rPr>
      <w:rFonts w:ascii="Segoe UI" w:hAnsi="Segoe UI" w:cs="Segoe UI"/>
      <w:sz w:val="18"/>
      <w:szCs w:val="18"/>
    </w:rPr>
  </w:style>
  <w:style w:type="character" w:styleId="CommentReference">
    <w:name w:val="annotation reference"/>
    <w:basedOn w:val="DefaultParagraphFont"/>
    <w:uiPriority w:val="99"/>
    <w:semiHidden/>
    <w:unhideWhenUsed/>
    <w:rsid w:val="005F78FB"/>
    <w:rPr>
      <w:sz w:val="16"/>
      <w:szCs w:val="16"/>
    </w:rPr>
  </w:style>
  <w:style w:type="paragraph" w:styleId="CommentText">
    <w:name w:val="annotation text"/>
    <w:basedOn w:val="Normal"/>
    <w:link w:val="CommentTextChar"/>
    <w:uiPriority w:val="99"/>
    <w:semiHidden/>
    <w:unhideWhenUsed/>
    <w:rsid w:val="005F78FB"/>
    <w:pPr>
      <w:spacing w:line="240" w:lineRule="auto"/>
    </w:pPr>
    <w:rPr>
      <w:sz w:val="20"/>
      <w:szCs w:val="20"/>
    </w:rPr>
  </w:style>
  <w:style w:type="character" w:customStyle="1" w:styleId="CommentTextChar">
    <w:name w:val="Comment Text Char"/>
    <w:basedOn w:val="DefaultParagraphFont"/>
    <w:link w:val="CommentText"/>
    <w:uiPriority w:val="99"/>
    <w:semiHidden/>
    <w:rsid w:val="005F78FB"/>
    <w:rPr>
      <w:sz w:val="20"/>
      <w:szCs w:val="20"/>
    </w:rPr>
  </w:style>
  <w:style w:type="character" w:styleId="FollowedHyperlink">
    <w:name w:val="FollowedHyperlink"/>
    <w:basedOn w:val="DefaultParagraphFont"/>
    <w:uiPriority w:val="99"/>
    <w:semiHidden/>
    <w:unhideWhenUsed/>
    <w:rsid w:val="000A51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0074">
      <w:bodyDiv w:val="1"/>
      <w:marLeft w:val="0"/>
      <w:marRight w:val="0"/>
      <w:marTop w:val="0"/>
      <w:marBottom w:val="0"/>
      <w:divBdr>
        <w:top w:val="none" w:sz="0" w:space="0" w:color="auto"/>
        <w:left w:val="none" w:sz="0" w:space="0" w:color="auto"/>
        <w:bottom w:val="none" w:sz="0" w:space="0" w:color="auto"/>
        <w:right w:val="none" w:sz="0" w:space="0" w:color="auto"/>
      </w:divBdr>
    </w:div>
    <w:div w:id="349648290">
      <w:bodyDiv w:val="1"/>
      <w:marLeft w:val="0"/>
      <w:marRight w:val="0"/>
      <w:marTop w:val="0"/>
      <w:marBottom w:val="0"/>
      <w:divBdr>
        <w:top w:val="none" w:sz="0" w:space="0" w:color="auto"/>
        <w:left w:val="none" w:sz="0" w:space="0" w:color="auto"/>
        <w:bottom w:val="none" w:sz="0" w:space="0" w:color="auto"/>
        <w:right w:val="none" w:sz="0" w:space="0" w:color="auto"/>
      </w:divBdr>
    </w:div>
    <w:div w:id="436364211">
      <w:bodyDiv w:val="1"/>
      <w:marLeft w:val="0"/>
      <w:marRight w:val="0"/>
      <w:marTop w:val="0"/>
      <w:marBottom w:val="0"/>
      <w:divBdr>
        <w:top w:val="none" w:sz="0" w:space="0" w:color="auto"/>
        <w:left w:val="none" w:sz="0" w:space="0" w:color="auto"/>
        <w:bottom w:val="none" w:sz="0" w:space="0" w:color="auto"/>
        <w:right w:val="none" w:sz="0" w:space="0" w:color="auto"/>
      </w:divBdr>
    </w:div>
    <w:div w:id="489520887">
      <w:bodyDiv w:val="1"/>
      <w:marLeft w:val="0"/>
      <w:marRight w:val="0"/>
      <w:marTop w:val="0"/>
      <w:marBottom w:val="0"/>
      <w:divBdr>
        <w:top w:val="none" w:sz="0" w:space="0" w:color="auto"/>
        <w:left w:val="none" w:sz="0" w:space="0" w:color="auto"/>
        <w:bottom w:val="none" w:sz="0" w:space="0" w:color="auto"/>
        <w:right w:val="none" w:sz="0" w:space="0" w:color="auto"/>
      </w:divBdr>
    </w:div>
    <w:div w:id="526605647">
      <w:bodyDiv w:val="1"/>
      <w:marLeft w:val="0"/>
      <w:marRight w:val="0"/>
      <w:marTop w:val="0"/>
      <w:marBottom w:val="0"/>
      <w:divBdr>
        <w:top w:val="none" w:sz="0" w:space="0" w:color="auto"/>
        <w:left w:val="none" w:sz="0" w:space="0" w:color="auto"/>
        <w:bottom w:val="none" w:sz="0" w:space="0" w:color="auto"/>
        <w:right w:val="none" w:sz="0" w:space="0" w:color="auto"/>
      </w:divBdr>
    </w:div>
    <w:div w:id="553545494">
      <w:bodyDiv w:val="1"/>
      <w:marLeft w:val="0"/>
      <w:marRight w:val="0"/>
      <w:marTop w:val="0"/>
      <w:marBottom w:val="0"/>
      <w:divBdr>
        <w:top w:val="none" w:sz="0" w:space="0" w:color="auto"/>
        <w:left w:val="none" w:sz="0" w:space="0" w:color="auto"/>
        <w:bottom w:val="none" w:sz="0" w:space="0" w:color="auto"/>
        <w:right w:val="none" w:sz="0" w:space="0" w:color="auto"/>
      </w:divBdr>
    </w:div>
    <w:div w:id="570235911">
      <w:bodyDiv w:val="1"/>
      <w:marLeft w:val="0"/>
      <w:marRight w:val="0"/>
      <w:marTop w:val="0"/>
      <w:marBottom w:val="0"/>
      <w:divBdr>
        <w:top w:val="none" w:sz="0" w:space="0" w:color="auto"/>
        <w:left w:val="none" w:sz="0" w:space="0" w:color="auto"/>
        <w:bottom w:val="none" w:sz="0" w:space="0" w:color="auto"/>
        <w:right w:val="none" w:sz="0" w:space="0" w:color="auto"/>
      </w:divBdr>
    </w:div>
    <w:div w:id="658773823">
      <w:bodyDiv w:val="1"/>
      <w:marLeft w:val="0"/>
      <w:marRight w:val="0"/>
      <w:marTop w:val="0"/>
      <w:marBottom w:val="0"/>
      <w:divBdr>
        <w:top w:val="none" w:sz="0" w:space="0" w:color="auto"/>
        <w:left w:val="none" w:sz="0" w:space="0" w:color="auto"/>
        <w:bottom w:val="none" w:sz="0" w:space="0" w:color="auto"/>
        <w:right w:val="none" w:sz="0" w:space="0" w:color="auto"/>
      </w:divBdr>
    </w:div>
    <w:div w:id="923027937">
      <w:bodyDiv w:val="1"/>
      <w:marLeft w:val="0"/>
      <w:marRight w:val="0"/>
      <w:marTop w:val="0"/>
      <w:marBottom w:val="0"/>
      <w:divBdr>
        <w:top w:val="none" w:sz="0" w:space="0" w:color="auto"/>
        <w:left w:val="none" w:sz="0" w:space="0" w:color="auto"/>
        <w:bottom w:val="none" w:sz="0" w:space="0" w:color="auto"/>
        <w:right w:val="none" w:sz="0" w:space="0" w:color="auto"/>
      </w:divBdr>
    </w:div>
    <w:div w:id="1158889367">
      <w:bodyDiv w:val="1"/>
      <w:marLeft w:val="0"/>
      <w:marRight w:val="0"/>
      <w:marTop w:val="0"/>
      <w:marBottom w:val="0"/>
      <w:divBdr>
        <w:top w:val="none" w:sz="0" w:space="0" w:color="auto"/>
        <w:left w:val="none" w:sz="0" w:space="0" w:color="auto"/>
        <w:bottom w:val="none" w:sz="0" w:space="0" w:color="auto"/>
        <w:right w:val="none" w:sz="0" w:space="0" w:color="auto"/>
      </w:divBdr>
      <w:divsChild>
        <w:div w:id="1414083369">
          <w:marLeft w:val="0"/>
          <w:marRight w:val="0"/>
          <w:marTop w:val="0"/>
          <w:marBottom w:val="0"/>
          <w:divBdr>
            <w:top w:val="none" w:sz="0" w:space="0" w:color="auto"/>
            <w:left w:val="none" w:sz="0" w:space="0" w:color="auto"/>
            <w:bottom w:val="none" w:sz="0" w:space="0" w:color="auto"/>
            <w:right w:val="none" w:sz="0" w:space="0" w:color="auto"/>
          </w:divBdr>
          <w:divsChild>
            <w:div w:id="9642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25257">
      <w:bodyDiv w:val="1"/>
      <w:marLeft w:val="0"/>
      <w:marRight w:val="0"/>
      <w:marTop w:val="0"/>
      <w:marBottom w:val="0"/>
      <w:divBdr>
        <w:top w:val="none" w:sz="0" w:space="0" w:color="auto"/>
        <w:left w:val="none" w:sz="0" w:space="0" w:color="auto"/>
        <w:bottom w:val="none" w:sz="0" w:space="0" w:color="auto"/>
        <w:right w:val="none" w:sz="0" w:space="0" w:color="auto"/>
      </w:divBdr>
    </w:div>
    <w:div w:id="1312517719">
      <w:bodyDiv w:val="1"/>
      <w:marLeft w:val="0"/>
      <w:marRight w:val="0"/>
      <w:marTop w:val="0"/>
      <w:marBottom w:val="0"/>
      <w:divBdr>
        <w:top w:val="none" w:sz="0" w:space="0" w:color="auto"/>
        <w:left w:val="none" w:sz="0" w:space="0" w:color="auto"/>
        <w:bottom w:val="none" w:sz="0" w:space="0" w:color="auto"/>
        <w:right w:val="none" w:sz="0" w:space="0" w:color="auto"/>
      </w:divBdr>
    </w:div>
    <w:div w:id="1342706206">
      <w:bodyDiv w:val="1"/>
      <w:marLeft w:val="0"/>
      <w:marRight w:val="0"/>
      <w:marTop w:val="0"/>
      <w:marBottom w:val="0"/>
      <w:divBdr>
        <w:top w:val="none" w:sz="0" w:space="0" w:color="auto"/>
        <w:left w:val="none" w:sz="0" w:space="0" w:color="auto"/>
        <w:bottom w:val="none" w:sz="0" w:space="0" w:color="auto"/>
        <w:right w:val="none" w:sz="0" w:space="0" w:color="auto"/>
      </w:divBdr>
      <w:divsChild>
        <w:div w:id="1855264289">
          <w:marLeft w:val="-225"/>
          <w:marRight w:val="-225"/>
          <w:marTop w:val="0"/>
          <w:marBottom w:val="0"/>
          <w:divBdr>
            <w:top w:val="none" w:sz="0" w:space="0" w:color="auto"/>
            <w:left w:val="none" w:sz="0" w:space="0" w:color="auto"/>
            <w:bottom w:val="none" w:sz="0" w:space="0" w:color="auto"/>
            <w:right w:val="none" w:sz="0" w:space="0" w:color="auto"/>
          </w:divBdr>
          <w:divsChild>
            <w:div w:id="1792360949">
              <w:marLeft w:val="0"/>
              <w:marRight w:val="0"/>
              <w:marTop w:val="0"/>
              <w:marBottom w:val="0"/>
              <w:divBdr>
                <w:top w:val="none" w:sz="0" w:space="0" w:color="auto"/>
                <w:left w:val="none" w:sz="0" w:space="0" w:color="auto"/>
                <w:bottom w:val="none" w:sz="0" w:space="0" w:color="auto"/>
                <w:right w:val="none" w:sz="0" w:space="0" w:color="auto"/>
              </w:divBdr>
              <w:divsChild>
                <w:div w:id="1653875474">
                  <w:marLeft w:val="0"/>
                  <w:marRight w:val="0"/>
                  <w:marTop w:val="0"/>
                  <w:marBottom w:val="0"/>
                  <w:divBdr>
                    <w:top w:val="none" w:sz="0" w:space="0" w:color="auto"/>
                    <w:left w:val="none" w:sz="0" w:space="0" w:color="auto"/>
                    <w:bottom w:val="none" w:sz="0" w:space="0" w:color="auto"/>
                    <w:right w:val="none" w:sz="0" w:space="0" w:color="auto"/>
                  </w:divBdr>
                  <w:divsChild>
                    <w:div w:id="2082483035">
                      <w:marLeft w:val="0"/>
                      <w:marRight w:val="0"/>
                      <w:marTop w:val="0"/>
                      <w:marBottom w:val="0"/>
                      <w:divBdr>
                        <w:top w:val="none" w:sz="0" w:space="0" w:color="auto"/>
                        <w:left w:val="none" w:sz="0" w:space="0" w:color="auto"/>
                        <w:bottom w:val="none" w:sz="0" w:space="0" w:color="auto"/>
                        <w:right w:val="none" w:sz="0" w:space="0" w:color="auto"/>
                      </w:divBdr>
                      <w:divsChild>
                        <w:div w:id="1442147719">
                          <w:marLeft w:val="0"/>
                          <w:marRight w:val="0"/>
                          <w:marTop w:val="0"/>
                          <w:marBottom w:val="0"/>
                          <w:divBdr>
                            <w:top w:val="none" w:sz="0" w:space="0" w:color="auto"/>
                            <w:left w:val="none" w:sz="0" w:space="0" w:color="auto"/>
                            <w:bottom w:val="none" w:sz="0" w:space="0" w:color="auto"/>
                            <w:right w:val="none" w:sz="0" w:space="0" w:color="auto"/>
                          </w:divBdr>
                          <w:divsChild>
                            <w:div w:id="8536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988821">
          <w:marLeft w:val="-225"/>
          <w:marRight w:val="-225"/>
          <w:marTop w:val="0"/>
          <w:marBottom w:val="0"/>
          <w:divBdr>
            <w:top w:val="none" w:sz="0" w:space="0" w:color="auto"/>
            <w:left w:val="none" w:sz="0" w:space="0" w:color="auto"/>
            <w:bottom w:val="none" w:sz="0" w:space="0" w:color="auto"/>
            <w:right w:val="none" w:sz="0" w:space="0" w:color="auto"/>
          </w:divBdr>
          <w:divsChild>
            <w:div w:id="2137944659">
              <w:marLeft w:val="0"/>
              <w:marRight w:val="0"/>
              <w:marTop w:val="0"/>
              <w:marBottom w:val="0"/>
              <w:divBdr>
                <w:top w:val="none" w:sz="0" w:space="0" w:color="auto"/>
                <w:left w:val="none" w:sz="0" w:space="0" w:color="auto"/>
                <w:bottom w:val="none" w:sz="0" w:space="0" w:color="auto"/>
                <w:right w:val="none" w:sz="0" w:space="0" w:color="auto"/>
              </w:divBdr>
              <w:divsChild>
                <w:div w:id="1768227546">
                  <w:marLeft w:val="0"/>
                  <w:marRight w:val="0"/>
                  <w:marTop w:val="0"/>
                  <w:marBottom w:val="0"/>
                  <w:divBdr>
                    <w:top w:val="none" w:sz="0" w:space="0" w:color="auto"/>
                    <w:left w:val="none" w:sz="0" w:space="0" w:color="auto"/>
                    <w:bottom w:val="none" w:sz="0" w:space="0" w:color="auto"/>
                    <w:right w:val="none" w:sz="0" w:space="0" w:color="auto"/>
                  </w:divBdr>
                  <w:divsChild>
                    <w:div w:id="1200044589">
                      <w:marLeft w:val="0"/>
                      <w:marRight w:val="0"/>
                      <w:marTop w:val="0"/>
                      <w:marBottom w:val="0"/>
                      <w:divBdr>
                        <w:top w:val="none" w:sz="0" w:space="0" w:color="auto"/>
                        <w:left w:val="none" w:sz="0" w:space="0" w:color="auto"/>
                        <w:bottom w:val="none" w:sz="0" w:space="0" w:color="auto"/>
                        <w:right w:val="none" w:sz="0" w:space="0" w:color="auto"/>
                      </w:divBdr>
                      <w:divsChild>
                        <w:div w:id="941763622">
                          <w:marLeft w:val="0"/>
                          <w:marRight w:val="0"/>
                          <w:marTop w:val="0"/>
                          <w:marBottom w:val="0"/>
                          <w:divBdr>
                            <w:top w:val="none" w:sz="0" w:space="0" w:color="auto"/>
                            <w:left w:val="none" w:sz="0" w:space="0" w:color="auto"/>
                            <w:bottom w:val="none" w:sz="0" w:space="0" w:color="auto"/>
                            <w:right w:val="none" w:sz="0" w:space="0" w:color="auto"/>
                          </w:divBdr>
                          <w:divsChild>
                            <w:div w:id="281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818925">
          <w:marLeft w:val="-225"/>
          <w:marRight w:val="-225"/>
          <w:marTop w:val="0"/>
          <w:marBottom w:val="0"/>
          <w:divBdr>
            <w:top w:val="none" w:sz="0" w:space="0" w:color="auto"/>
            <w:left w:val="none" w:sz="0" w:space="0" w:color="auto"/>
            <w:bottom w:val="none" w:sz="0" w:space="0" w:color="auto"/>
            <w:right w:val="none" w:sz="0" w:space="0" w:color="auto"/>
          </w:divBdr>
          <w:divsChild>
            <w:div w:id="1429422622">
              <w:marLeft w:val="0"/>
              <w:marRight w:val="0"/>
              <w:marTop w:val="0"/>
              <w:marBottom w:val="0"/>
              <w:divBdr>
                <w:top w:val="none" w:sz="0" w:space="0" w:color="auto"/>
                <w:left w:val="none" w:sz="0" w:space="0" w:color="auto"/>
                <w:bottom w:val="none" w:sz="0" w:space="0" w:color="auto"/>
                <w:right w:val="none" w:sz="0" w:space="0" w:color="auto"/>
              </w:divBdr>
              <w:divsChild>
                <w:div w:id="344749697">
                  <w:marLeft w:val="0"/>
                  <w:marRight w:val="0"/>
                  <w:marTop w:val="0"/>
                  <w:marBottom w:val="0"/>
                  <w:divBdr>
                    <w:top w:val="none" w:sz="0" w:space="0" w:color="auto"/>
                    <w:left w:val="none" w:sz="0" w:space="0" w:color="auto"/>
                    <w:bottom w:val="none" w:sz="0" w:space="0" w:color="auto"/>
                    <w:right w:val="none" w:sz="0" w:space="0" w:color="auto"/>
                  </w:divBdr>
                  <w:divsChild>
                    <w:div w:id="8559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23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vices.cost.eu/" TargetMode="External"/><Relationship Id="rId3" Type="http://schemas.openxmlformats.org/officeDocument/2006/relationships/settings" Target="settings.xml"/><Relationship Id="rId7" Type="http://schemas.openxmlformats.org/officeDocument/2006/relationships/hyperlink" Target="https://www.tu1406.eu/wp-content/uploads/2017/05/COSTVademecu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Catarina Lente</cp:lastModifiedBy>
  <cp:revision>2</cp:revision>
  <cp:lastPrinted>2022-02-03T10:51:00Z</cp:lastPrinted>
  <dcterms:created xsi:type="dcterms:W3CDTF">2022-12-20T17:55:00Z</dcterms:created>
  <dcterms:modified xsi:type="dcterms:W3CDTF">2022-12-20T17:55:00Z</dcterms:modified>
</cp:coreProperties>
</file>